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vbaProject.bin" ContentType="application/vnd.ms-office.vbaProject"/>
  <Override PartName="/word/vbaData.xml" ContentType="application/vnd.ms-word.vbaData+xml"/>
  <Override PartName="/customUI/customUI.xml" ContentType="application/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AirCalculatorUI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drawing>
          <wp:inline xmlns:a="http://schemas.openxmlformats.org/drawingml/2006/main" xmlns:pic="http://schemas.openxmlformats.org/drawingml/2006/picture">
            <wp:extent cx="1980000" cy="4910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49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ООО «Синергия-Ресурс»: все для промышленной пневмоавтоматики</w:t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195213, г. Санкт-Петербург, ул. Латышских стрелков, д 25</w:t>
      </w:r>
    </w:p>
    <w:p>
      <w:pPr>
        <w:spacing w:after="0"/>
        <w:jc w:val="center"/>
      </w:pPr>
      <w:r>
        <w:rPr>
          <w:rFonts w:ascii="Times New Roman" w:hAnsi="Times New Roman" w:eastAsia="Times New Roman"/>
          <w:b w:val="0"/>
          <w:i w:val="0"/>
          <w:sz w:val="22"/>
        </w:rPr>
        <w:t>ОГРН 1137847172033      ИНН 7839478785      КПП 781101001</w:t>
      </w:r>
    </w:p>
    <w:p>
      <w:pPr>
        <w:spacing w:after="240"/>
        <w:jc w:val="center"/>
      </w:pPr>
      <w:r>
        <w:rPr>
          <w:rFonts w:ascii="Times New Roman" w:hAnsi="Times New Roman" w:eastAsia="Times New Roman"/>
          <w:b w:val="0"/>
          <w:i w:val="0"/>
          <w:color w:val="0563C1"/>
          <w:sz w:val="22"/>
        </w:rPr>
        <w:t>site@srs-automatic.ru    тел. 8-800-600-72-68,  +7 812 983-22-68</w:t>
      </w:r>
    </w:p>
    <w:p>
      <w:pPr>
        <w:spacing w:after="240"/>
        <w:jc w:val="center"/>
      </w:pPr>
      <w:r>
        <w:rPr>
          <w:rFonts w:ascii="Times New Roman" w:hAnsi="Times New Roman" w:eastAsia="Times New Roman"/>
          <w:b w:val="0"/>
          <w:i w:val="0"/>
          <w:sz w:val="30"/>
        </w:rPr>
        <w:t>Калькулятор потребления воздуха пневмоцилиндром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</w:tblPr>
      <w:tblGrid>
        <w:gridCol w:w="2494"/>
        <w:gridCol w:w="2494"/>
        <w:gridCol w:w="2494"/>
        <w:gridCol w:w="2494"/>
      </w:tblGrid>
      <w:tr>
        <w:tc>
          <w:tcPr>
            <w:tcW w:type="dxa" w:w="21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Заказчик:</w:t>
            </w:r>
          </w:p>
        </w:tc>
        <w:tc>
          <w:tcPr>
            <w:tcW w:type="dxa" w:w="3400"/>
            <w:vAlign w:val="center"/>
          </w:tcPr>
          <w:p>
            <w:pPr>
              <w:spacing w:after="0"/>
            </w:pPr>
            <w:r/>
            <w:sdt>
              <w:sdtPr>
                <w:alias w:val="srCustomer"/>
                <w:tag w:val="srCustomer"/>
                <w:text/>
                <w:id w:val="20001"/>
              </w:sdtPr>
              <w:sdtContent>
                <w:r>
                  <w:t xml:space="preserve"> </w:t>
                </w:r>
              </w:sdtContent>
            </w:sdt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Дата:</w:t>
            </w:r>
          </w:p>
        </w:tc>
        <w:tc>
          <w:tcPr>
            <w:tcW w:type="dxa" w:w="3000"/>
            <w:vAlign w:val="center"/>
          </w:tcPr>
          <w:p>
            <w:pPr>
              <w:spacing w:after="0"/>
            </w:pPr>
            <w:r/>
            <w:sdt>
              <w:sdtPr>
                <w:alias w:val="srDate"/>
                <w:tag w:val="srDate"/>
                <w:text/>
                <w:id w:val="20002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21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Представитель:</w:t>
            </w:r>
          </w:p>
        </w:tc>
        <w:tc>
          <w:tcPr>
            <w:tcW w:type="dxa" w:w="3400"/>
            <w:vAlign w:val="center"/>
          </w:tcPr>
          <w:p>
            <w:pPr>
              <w:spacing w:after="0"/>
            </w:pPr>
            <w:r/>
            <w:sdt>
              <w:sdtPr>
                <w:alias w:val="srManager"/>
                <w:tag w:val="srManager"/>
                <w:text/>
                <w:id w:val="20003"/>
              </w:sdtPr>
              <w:sdtContent>
                <w:r>
                  <w:t xml:space="preserve"> </w:t>
                </w:r>
              </w:sdtContent>
            </w:sdt>
          </w:p>
        </w:tc>
        <w:tc>
          <w:tcPr>
            <w:tcW w:type="dxa" w:w="1800"/>
            <w:vAlign w:val="center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Техзапрос №:</w:t>
            </w:r>
          </w:p>
        </w:tc>
        <w:tc>
          <w:tcPr>
            <w:tcW w:type="dxa" w:w="3000"/>
            <w:vAlign w:val="center"/>
          </w:tcPr>
          <w:p>
            <w:pPr>
              <w:spacing w:after="0"/>
            </w:pPr>
            <w:r/>
            <w:sdt>
              <w:sdtPr>
                <w:alias w:val="srRequest"/>
                <w:tag w:val="srRequest"/>
                <w:text/>
                <w:id w:val="20004"/>
              </w:sdtPr>
              <w:sdtContent>
                <w:r>
                  <w:t xml:space="preserve"> </w:t>
                </w:r>
              </w:sdtContent>
            </w:sdt>
          </w:p>
        </w:tc>
      </w:tr>
    </w:tbl>
    <w:p>
      <w:pPr>
        <w:keepNext/>
        <w:spacing w:after="120" w:before="320"/>
        <w:jc w:val="center"/>
        <w:shd w:fill="D9D9D9"/>
      </w:pPr>
      <w:r>
        <w:rPr>
          <w:rFonts w:ascii="Times New Roman" w:hAnsi="Times New Roman" w:eastAsia="Times New Roman"/>
          <w:b/>
          <w:i w:val="0"/>
          <w:color w:val="000000"/>
          <w:sz w:val="22"/>
        </w:rPr>
        <w:t>ИСХОДНЫЕ ДАННЫЕ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9E9E9E"/>
          <w:left w:val="single" w:sz="6" w:space="0" w:color="9E9E9E"/>
          <w:bottom w:val="single" w:sz="6" w:space="0" w:color="9E9E9E"/>
          <w:right w:val="single" w:sz="6" w:space="0" w:color="9E9E9E"/>
          <w:insideH w:val="single" w:sz="6" w:space="0" w:color="9E9E9E"/>
          <w:insideV w:val="single" w:sz="6" w:space="0" w:color="9E9E9E"/>
        </w:tblBorders>
      </w:tblPr>
      <w:tblGrid>
        <w:gridCol w:w="4989"/>
        <w:gridCol w:w="4989"/>
      </w:tblGrid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Тип пневмоцилиндра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Выберите конструкцию из списка. Для двустороннего штока принимается одинаковый диаметр с обеих сторон.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Type"/>
                <w:tag w:val="srType"/>
                <w:id w:val="20005"/>
                <w:dropDownList>
                  <w:listItem w:displayText="Двустороннего действия с односторонним штоком" w:value="Двустороннего действия с односторонним штоком"/>
                  <w:listItem w:displayText="Одностороннего действия / пружинный возврат" w:value="Одностороннего действия / пружинный возврат"/>
                  <w:listItem w:displayText="Двустороннего действия с двусторонним штоком" w:value="Двустороннего действия с двусторонним штоком"/>
                </w:dropDownList>
              </w:sdtPr>
              <w:sdtContent>
                <w:r>
                  <w:t xml:space="preserve">Двустороннего действия с односторонним штоком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Диаметр поршня D, мм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D"/>
                <w:tag w:val="srD"/>
                <w:text/>
                <w:id w:val="20006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Диаметр штока d, мм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/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Пустое поле или 0 — расчёт без учёта штока. Диаметр штока должен быть меньше диаметра поршня.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Rod"/>
                <w:tag w:val="srRod"/>
                <w:text/>
                <w:id w:val="20007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Ход цилиндра L, мм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Stroke"/>
                <w:tag w:val="srStroke"/>
                <w:text/>
                <w:id w:val="20008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Рабочее давление, бар (изб.)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Pressure"/>
                <w:tag w:val="srPressure"/>
                <w:text/>
                <w:id w:val="20009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Количество полных циклов в минуту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Один полный цикл = ход выдвижения и ход втягивания.</w:t>
            </w:r>
          </w:p>
        </w:tc>
        <w:tc>
          <w:tcPr>
            <w:tcW w:type="dxa" w:w="6000"/>
            <w:vAlign w:val="center"/>
            <w:shd w:fill="FFF9F2"/>
          </w:tcPr>
          <w:p>
            <w:pPr>
              <w:spacing w:after="0"/>
            </w:pPr>
            <w:r/>
            <w:sdt>
              <w:sdtPr>
                <w:alias w:val="srCycles"/>
                <w:tag w:val="srCycles"/>
                <w:text/>
                <w:id w:val="20010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Количество цилиндров, шт.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Count"/>
                <w:tag w:val="srCount"/>
                <w:text/>
                <w:id w:val="20011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Коэффициент запаса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> *</w:t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Укажите 1 для расчёта без запаса.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Reserve"/>
                <w:tag w:val="srReserve"/>
                <w:text/>
                <w:id w:val="20012"/>
              </w:sdtPr>
              <w:sdtContent>
                <w:r>
                  <w:t xml:space="preserve"> </w:t>
                </w:r>
              </w:sdtContent>
            </w:sdt>
          </w:p>
        </w:tc>
      </w:tr>
      <w:tr>
        <w:tc>
          <w:tcPr>
            <w:tcW w:type="dxa" w:w="4650"/>
            <w:vAlign w:val="center"/>
          </w:tcPr>
          <w:p>
            <w:pPr>
              <w:spacing w:after="0"/>
            </w:pPr>
            <w:r/>
            <w:r>
              <w:rPr>
                <w:rFonts w:ascii="Times New Roman" w:hAnsi="Times New Roman" w:eastAsia="Times New Roman"/>
                <w:b/>
                <w:sz w:val="22"/>
              </w:rPr>
              <w:t>Комментарий</w:t>
            </w:r>
            <w:r>
              <w:rPr>
                <w:rFonts w:ascii="Times New Roman" w:hAnsi="Times New Roman" w:eastAsia="Times New Roman"/>
                <w:b/>
                <w:color w:val="FF6600"/>
                <w:sz w:val="22"/>
              </w:rPr>
              <w:t xml:space="preserve"/>
            </w:r>
          </w:p>
          <w:p>
            <w:pPr>
              <w:spacing w:after="0"/>
            </w:pPr>
            <w:r>
              <w:rPr>
                <w:rFonts w:ascii="Times New Roman" w:hAnsi="Times New Roman" w:eastAsia="Times New Roman"/>
                <w:i/>
                <w:sz w:val="18"/>
              </w:rPr>
              <w:t>Условия работы, серия цилиндра и особенности системы. Поле необязательное.</w:t>
            </w:r>
          </w:p>
        </w:tc>
        <w:tc>
          <w:tcPr>
            <w:tcW w:type="dxa" w:w="6000"/>
            <w:vAlign w:val="center"/>
            <w:shd w:fill="FFFFFF"/>
          </w:tcPr>
          <w:p>
            <w:pPr>
              <w:spacing w:after="0"/>
            </w:pPr>
            <w:r/>
            <w:sdt>
              <w:sdtPr>
                <w:alias w:val="srComment"/>
                <w:tag w:val="srComment"/>
                <w:text/>
                <w:id w:val="20013"/>
              </w:sdtPr>
              <w:sdtContent>
                <w:r>
                  <w:t xml:space="preserve"> </w:t>
                </w:r>
              </w:sdtContent>
            </w:sdt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</w:tblPr>
      <w:tblGrid>
        <w:gridCol w:w="4989"/>
        <w:gridCol w:w="4989"/>
      </w:tblGrid>
      <w:tr>
        <w:tc>
          <w:tcPr>
            <w:tcW w:type="dxa" w:w="2800"/>
            <w:shd w:fill="0B78BC"/>
            <w:tcBorders>
              <w:top w:val="single" w:sz="8" w:color="0B78BC"/>
              <w:left w:val="single" w:sz="8" w:color="0B78BC"/>
              <w:bottom w:val="single" w:sz="8" w:color="0B78BC"/>
              <w:right w:val="single" w:sz="8" w:color="0B78BC"/>
            </w:tcBorders>
          </w:tcPr>
          <w:p>
            <w:pPr>
              <w:spacing w:after="0"/>
              <w:jc w:val="center"/>
            </w:pPr>
            <w:r>
              <w:fldChar w:fldCharType="begin"/>
            </w:r>
            <w:r>
              <w:instrText xml:space="preserve"> MACROBUTTON AirCalc.Raschet Рассчитать </w:instrText>
            </w:r>
            <w:r>
              <w:fldChar w:fldCharType="separate"/>
            </w:r>
            <w:r>
              <w:rPr>
                <w:b/>
                <w:sz w:val="22"/>
                <w:color w:val="FFFFFF"/>
                <w:rFonts w:ascii="Times New Roman" w:hAnsi="Times New Roman" w:cs="Times New Roman"/>
              </w:rPr>
              <w:t>Рассчитать</w:t>
            </w:r>
            <w:r>
              <w:fldChar w:fldCharType="end"/>
            </w:r>
          </w:p>
        </w:tc>
        <w:tc>
          <w:tcPr>
            <w:tcW w:type="dxa" w:w="2800"/>
            <w:shd w:fill="FFFFFF"/>
            <w:tcBorders>
              <w:top w:val="single" w:sz="8" w:color="0B78BC"/>
              <w:left w:val="single" w:sz="8" w:color="0B78BC"/>
              <w:bottom w:val="single" w:sz="8" w:color="0B78BC"/>
              <w:right w:val="single" w:sz="8" w:color="0B78BC"/>
            </w:tcBorders>
          </w:tcPr>
          <w:p>
            <w:pPr>
              <w:spacing w:after="0"/>
              <w:jc w:val="center"/>
            </w:pPr>
            <w:r>
              <w:fldChar w:fldCharType="begin"/>
            </w:r>
            <w:r>
              <w:instrText xml:space="preserve"> MACROBUTTON AirCalc.OchistitList Очистить лист </w:instrText>
            </w:r>
            <w:r>
              <w:fldChar w:fldCharType="separate"/>
            </w:r>
            <w:r>
              <w:rPr>
                <w:b/>
                <w:sz w:val="22"/>
                <w:color w:val="0B78BC"/>
                <w:rFonts w:ascii="Times New Roman" w:hAnsi="Times New Roman" w:cs="Times New Roman"/>
              </w:rPr>
              <w:t>Очистить лист</w:t>
            </w:r>
            <w:r>
              <w:fldChar w:fldCharType="end"/>
            </w:r>
          </w:p>
        </w:tc>
      </w:tr>
    </w:tbl>
    <w:p>
      <w:pPr>
        <w:keepNext/>
        <w:spacing w:before="320" w:after="120"/>
      </w:pPr>
      <w:r>
        <w:rPr>
          <w:b/>
          <w:sz w:val="18"/>
          <w:color w:val="333333"/>
        </w:rPr>
        <w:t xml:space="preserve">Как заполнить калькулятор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Обязательные поля: </w:t>
      </w:r>
      <w:r>
        <w:rPr>
          <w:sz w:val="18"/>
          <w:color w:val="333333"/>
        </w:rPr>
        <w:t xml:space="preserve">диаметр поршня, ход, рабочее давление, циклы в минуту, количество цилиндров и коэффициент запаса. Тип цилиндра выберите из списка.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Формат ввода: </w:t>
      </w:r>
      <w:r>
        <w:rPr>
          <w:sz w:val="18"/>
          <w:color w:val="333333"/>
        </w:rPr>
        <w:t xml:space="preserve">одно число без единиц измерения и диапазонов. Дробную часть отделяйте запятой или точкой, например 0,5.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Допустимые значения: </w:t>
      </w:r>
      <w:r>
        <w:rPr>
          <w:sz w:val="18"/>
          <w:color w:val="333333"/>
        </w:rPr>
        <w:t xml:space="preserve">диаметр поршня и ход больше 0; давление и циклы неотрицательны. Количество цилиндров — целое число не меньше 1; коэффициент запаса — не меньше 1.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Диаметр штока: </w:t>
      </w:r>
      <w:r>
        <w:rPr>
          <w:sz w:val="18"/>
          <w:color w:val="333333"/>
        </w:rPr>
        <w:t xml:space="preserve">укажите фактический диаметр, меньший диаметра поршня. Пустое поле или 0 означает расчёт без учёта штока.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Полный цикл: </w:t>
      </w:r>
      <w:r>
        <w:rPr>
          <w:sz w:val="18"/>
          <w:color w:val="333333"/>
        </w:rPr>
        <w:t xml:space="preserve">выдвижение и втягивание. Для пружинного возврата воздух учитывается только на рабочий ход.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Коэффициент запаса: </w:t>
      </w:r>
      <w:r>
        <w:rPr>
          <w:sz w:val="18"/>
          <w:color w:val="333333"/>
        </w:rPr>
        <w:t xml:space="preserve">введите 1 для расчёта без запаса или, например, 1,2 для увеличения результата на 20%.</w:t>
      </w:r>
    </w:p>
    <w:p>
      <w:pPr>
        <w:keepLines/>
        <w:numPr>
          <w:ilvl w:val="0"/>
          <w:numId w:val="10"/>
        </w:numPr>
        <w:spacing w:before="0" w:after="80"/>
        <w:ind w:left="300" w:hanging="180"/>
      </w:pPr>
      <w:r>
        <w:rPr>
          <w:b/>
          <w:sz w:val="18"/>
          <w:color w:val="333333"/>
        </w:rPr>
        <w:t xml:space="preserve">Результат: </w:t>
      </w:r>
      <w:r>
        <w:rPr>
          <w:sz w:val="18"/>
          <w:color w:val="333333"/>
        </w:rPr>
        <w:t xml:space="preserve">расход за цикл, минуту и час указан для всех цилиндров с учётом запаса. Комментарий и сведения о заказчике на расчёт не влияют.</w:t>
      </w:r>
    </w:p>
    <w:p>
      <w:pPr>
        <w:keepLines/>
        <w:numPr>
          <w:ilvl w:val="0"/>
          <w:numId w:val="10"/>
        </w:numPr>
        <w:spacing w:before="0" w:after="240"/>
        <w:ind w:left="300" w:hanging="180"/>
      </w:pPr>
      <w:r>
        <w:rPr>
          <w:b/>
          <w:sz w:val="18"/>
          <w:color w:val="333333"/>
        </w:rPr>
        <w:t xml:space="preserve">Пересчёт: </w:t>
      </w:r>
      <w:r>
        <w:rPr>
          <w:sz w:val="18"/>
          <w:color w:val="333333"/>
        </w:rPr>
        <w:t xml:space="preserve">после заполнения или изменения параметров нажмите «Рассчитать». Кнопка «Очистить лист» удаляет введённые данные и результаты.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</w:tblPr>
      <w:tblGrid>
        <w:gridCol w:w="4989"/>
        <w:gridCol w:w="4989"/>
      </w:tblGrid>
      <w:tr>
        <w:tc>
          <w:tcPr>
            <w:tcW w:type="dxa" w:w="2600"/>
          </w:tcPr>
          <w:p>
            <w:r/>
            <w:r>
              <w:rPr>
                <w:rFonts w:ascii="Times New Roman" w:hAnsi="Times New Roman" w:eastAsia="Times New Roman"/>
                <w:b/>
                <w:sz w:val="18"/>
              </w:rPr>
              <w:t>Сообщение проверки:</w:t>
            </w:r>
          </w:p>
        </w:tc>
        <w:tc>
          <w:tcPr>
            <w:tcW w:type="dxa" w:w="7900"/>
          </w:tcPr>
          <w:p>
            <w:pPr>
              <w:spacing w:after="0"/>
            </w:pPr>
            <w:r/>
            <w:sdt>
              <w:sdtPr>
                <w:alias w:val="srMessage"/>
                <w:tag w:val="srMessage"/>
                <w:text/>
                <w:id w:val="20014"/>
              </w:sdtPr>
              <w:sdtContent>
                <w:r>
                  <w:t xml:space="preserve">Заполните обязательные поля и нажмите «Рассчитать».</w:t>
                </w:r>
              </w:sdtContent>
            </w:sdt>
          </w:p>
        </w:tc>
      </w:tr>
    </w:tbl>
    <w:p>
      <w:pPr>
        <w:keepNext/>
        <w:spacing w:after="120" w:before="320"/>
        <w:jc w:val="center"/>
        <w:shd w:fill="D9D9D9"/>
      </w:pPr>
      <w:r>
        <w:rPr>
          <w:rFonts w:ascii="Times New Roman" w:hAnsi="Times New Roman" w:eastAsia="Times New Roman"/>
          <w:b/>
          <w:i w:val="0"/>
          <w:sz w:val="22"/>
        </w:rPr>
        <w:t>РЕЗУЛЬТАТЫ РАСЧЁТА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9E9E9E"/>
          <w:left w:val="single" w:sz="6" w:space="0" w:color="9E9E9E"/>
          <w:bottom w:val="single" w:sz="6" w:space="0" w:color="9E9E9E"/>
          <w:right w:val="single" w:sz="6" w:space="0" w:color="9E9E9E"/>
          <w:insideH w:val="single" w:sz="6" w:space="0" w:color="9E9E9E"/>
          <w:insideV w:val="single" w:sz="6" w:space="0" w:color="9E9E9E"/>
        </w:tblBorders>
      </w:tblPr>
      <w:tblGrid>
        <w:gridCol w:w="3326"/>
        <w:gridCol w:w="3326"/>
        <w:gridCol w:w="3326"/>
      </w:tblGrid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Площадь поршня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AreaPiston"/>
                <w:tag w:val="srAreaPiston"/>
                <w:text/>
                <w:id w:val="20015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мм²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Площадь штока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AreaRod"/>
                <w:tag w:val="srAreaRod"/>
                <w:text/>
                <w:id w:val="20016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мм²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Объём полости выдвижения за ход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VolumeOut"/>
                <w:tag w:val="srVolumeOut"/>
                <w:text/>
                <w:id w:val="20017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л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Объём полости втягивания за ход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VolumeIn"/>
                <w:tag w:val="srVolumeIn"/>
                <w:text/>
                <w:id w:val="20018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л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Потребление за 1 цикл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Cycle"/>
                <w:tag w:val="srCycle"/>
                <w:text/>
                <w:id w:val="20019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нл/цикл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Потребление в минуту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Minute"/>
                <w:tag w:val="srMinute"/>
                <w:text/>
                <w:id w:val="20020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нл/мин</w:t>
            </w:r>
          </w:p>
        </w:tc>
      </w:tr>
      <w:tr>
        <w:tc>
          <w:tcPr>
            <w:tcW w:type="dxa" w:w="5200"/>
            <w:shd w:fill="F7F7F7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Потребление в час</w:t>
            </w:r>
          </w:p>
        </w:tc>
        <w:tc>
          <w:tcPr>
            <w:tcW w:type="dxa" w:w="3000"/>
            <w:shd w:fill="F7F7F7"/>
          </w:tcPr>
          <w:p>
            <w:pPr>
              <w:spacing w:after="0"/>
              <w:jc w:val="right"/>
            </w:pPr>
            <w:r/>
            <w:sdt>
              <w:sdtPr>
                <w:alias w:val="srHourLiters"/>
                <w:tag w:val="srHourLiters"/>
                <w:text/>
                <w:id w:val="20021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  <w:shd w:fill="F7F7F7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нл/ч</w:t>
            </w:r>
          </w:p>
        </w:tc>
      </w:tr>
      <w:tr>
        <w:tc>
          <w:tcPr>
            <w:tcW w:type="dxa" w:w="5200"/>
          </w:tcPr>
          <w:p>
            <w:r/>
            <w:r>
              <w:rPr>
                <w:rFonts w:ascii="Times New Roman" w:hAnsi="Times New Roman" w:eastAsia="Times New Roman"/>
                <w:b/>
                <w:sz w:val="20"/>
              </w:rPr>
              <w:t>Потребление в час</w:t>
            </w:r>
          </w:p>
        </w:tc>
        <w:tc>
          <w:tcPr>
            <w:tcW w:type="dxa" w:w="3000"/>
          </w:tcPr>
          <w:p>
            <w:pPr>
              <w:spacing w:after="0"/>
              <w:jc w:val="right"/>
            </w:pPr>
            <w:r/>
            <w:sdt>
              <w:sdtPr>
                <w:alias w:val="srHourM3"/>
                <w:tag w:val="srHourM3"/>
                <w:text/>
                <w:id w:val="20022"/>
              </w:sdtPr>
              <w:sdtContent>
                <w:r>
                  <w:t xml:space="preserve">—</w:t>
                </w:r>
              </w:sdtContent>
            </w:sdt>
          </w:p>
        </w:tc>
        <w:tc>
          <w:tcPr>
            <w:tcW w:type="dxa" w:w="1300"/>
          </w:tcPr>
          <w:p>
            <w:r/>
            <w:r>
              <w:rPr>
                <w:rFonts w:ascii="Times New Roman" w:hAnsi="Times New Roman" w:eastAsia="Times New Roman"/>
                <w:b w:val="0"/>
                <w:sz w:val="20"/>
              </w:rPr>
              <w:t>нм³/ч</w:t>
            </w:r>
          </w:p>
        </w:tc>
      </w:tr>
    </w:tbl>
    <w:p>
      <w:pPr>
        <w:keepNext/>
        <w:spacing w:after="120" w:before="320"/>
        <w:jc w:val="center"/>
        <w:shd w:fill="D9D9D9"/>
      </w:pPr>
      <w:r>
        <w:rPr>
          <w:rFonts w:ascii="Times New Roman" w:hAnsi="Times New Roman" w:eastAsia="Times New Roman"/>
          <w:b/>
          <w:i w:val="0"/>
          <w:sz w:val="22"/>
        </w:rPr>
        <w:t>ФОРМУЛЫ РАСЧЁТА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Площади: Sп = π × D² / 4; Sшт = π × d² / 4 (мм²).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Объёмы: Vп = Sп × L / 1 000 000; Vшт = (Sп − Sшт) × L / 1 000 000 (л).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Двусторонний, один шток: V1 = Vп, V2 = Vшт. Односторонний с пружинным возвратом: V1 = Vп, V2 = 0.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Двусторонний, два штока одинакового диаметра: V1 = V2 = Vшт.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За цикл: Qц = (V1 + V2) × (P + 1) × K × R; P — избыточное давление (бар), K — количество цилиндров, R — коэффициент запаса. Атмосферное давление принято равным 1 бар.</w:t>
      </w:r>
    </w:p>
    <w:p>
      <w:pPr>
        <w:spacing w:after="60"/>
        <w:ind w:left="340"/>
      </w:pPr>
      <w:r>
        <w:rPr>
          <w:rFonts w:ascii="Times New Roman" w:hAnsi="Times New Roman" w:eastAsia="Times New Roman"/>
          <w:sz w:val="22"/>
        </w:rPr>
        <w:t>• За минуту: Qмин = Qц × N; за час: Qч = Qмин × 60; нм³/ч = Qч / 1 000. N — количество полных циклов в минуту.</w:t>
      </w:r>
    </w:p>
    <w:p>
      <w:pPr>
        <w:keepNext/>
        <w:spacing w:after="120" w:before="320"/>
      </w:pPr>
      <w:r>
        <w:rPr>
          <w:rFonts w:ascii="Times New Roman" w:hAnsi="Times New Roman" w:eastAsia="Times New Roman"/>
          <w:b/>
          <w:i w:val="0"/>
          <w:sz w:val="22"/>
        </w:rPr>
        <w:t>ПРИМЕЧАНИЕ</w:t>
      </w:r>
    </w:p>
    <w:p>
      <w:pPr>
        <w:spacing w:after="160"/>
      </w:pPr>
      <w:r>
        <w:rPr>
          <w:rFonts w:ascii="Times New Roman" w:hAnsi="Times New Roman" w:eastAsia="Times New Roman"/>
          <w:b w:val="0"/>
          <w:i/>
          <w:color w:val="555555"/>
          <w:sz w:val="20"/>
        </w:rPr>
        <w:t>Расчёт является предварительным и не учитывает утечки, объём трубопроводов, пневмоаппаратуры, демпфирование, температуру воздуха и фактические потери в системе. Для подбора компрессора, ресивера и пневмоаппаратуры рекомендуется закладывать технический запас.</w:t>
      </w:r>
    </w:p>
    <w:sectPr w:rsidR="00FC693F" w:rsidRPr="0006063C" w:rsidSect="00034616">
      <w:pgSz w:w="11906" w:h="16838"/>
      <w:pgMar w:top="1020" w:right="964" w:bottom="79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multiLevelType w:val="singleLevel"/>
    <w:lvl w:ilvl="0">
      <w:start w:val="1"/>
      <w:numFmt w:val="bullet"/>
      <w:lvlText w:val="•"/>
      <w:lvlJc w:val="left"/>
      <w:pPr>
        <w:ind w:left="300" w:hanging="180"/>
      </w:pPr>
      <w:rPr>
        <w:rFonts w:ascii="Arial" w:hAnsi="Aria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ContentControlOnExit/>
  </wne:docEvents>
  <wne:mcds>
    <wne:mcd wne:macroName="PROJECT.AIRCALC.RASCHET" wne:name="Project.AirCalc.Raschet" wne:bEncrypt="00" wne:cmg="56"/>
    <wne:mcd wne:macroName="PROJECT.AIRCALC.OCHISTITLIST" wne:name="Project.AirCalc.OchistitLis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microsoft.com/office/2006/relationships/vbaProject" Target="vbaProject.bin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UI/customUI.xml><?xml version="1.0" encoding="utf-8"?>
<customUI xmlns="http://schemas.microsoft.com/office/2006/01/customui">
  <ribbon>
    <tabs>
      <tab id="tabPneumoCalculator" label="Калькулятор">
        <group id="groupPneumoCalculation" label="Потребление воздуха">
          <button id="pneumoCalculate" label="Рассчитать" size="large" imageMso="CalculateNow" onAction="AirCalc.RibbonCalculate"/>
          <button id="pneumoClear" label="Очистить лист" size="large" imageMso="ClearAll" onAction="AirCalc.RibbonClear"/>
        </group>
      </tab>
    </tabs>
  </ribbon>
</customUI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