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vbaProject.bin" ContentType="application/vnd.ms-office.vbaProject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  <w:jc w:val="center"/>
      </w:pPr>
      <w:r>
        <w:drawing>
          <wp:inline xmlns:a="http://schemas.openxmlformats.org/drawingml/2006/main" xmlns:pic="http://schemas.openxmlformats.org/drawingml/2006/picture">
            <wp:extent cx="1980000" cy="49104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980000" cy="4910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0"/>
        <w:jc w:val="center"/>
      </w:pPr>
      <w:r>
        <w:rPr>
          <w:rFonts w:ascii="Times New Roman" w:hAnsi="Times New Roman" w:eastAsia="Times New Roman"/>
          <w:b w:val="0"/>
          <w:i w:val="0"/>
          <w:sz w:val="22"/>
        </w:rPr>
        <w:t>ООО «Синергия-Ресурс»: все для промышленной пневмоавтоматики</w:t>
      </w:r>
    </w:p>
    <w:p>
      <w:pPr>
        <w:spacing w:after="0"/>
        <w:jc w:val="center"/>
      </w:pPr>
      <w:r>
        <w:rPr>
          <w:rFonts w:ascii="Times New Roman" w:hAnsi="Times New Roman" w:eastAsia="Times New Roman"/>
          <w:b w:val="0"/>
          <w:i w:val="0"/>
          <w:sz w:val="22"/>
        </w:rPr>
        <w:t>195213, г. Санкт-Петербург, ул. Латышских стрелков, д 25</w:t>
      </w:r>
    </w:p>
    <w:p>
      <w:pPr>
        <w:spacing w:after="0"/>
        <w:jc w:val="center"/>
      </w:pPr>
      <w:r>
        <w:rPr>
          <w:rFonts w:ascii="Times New Roman" w:hAnsi="Times New Roman" w:eastAsia="Times New Roman"/>
          <w:b w:val="0"/>
          <w:i w:val="0"/>
          <w:sz w:val="22"/>
        </w:rPr>
        <w:t>ОГРН 1137847172033      ИНН 7839478785      КПП 781101001</w:t>
      </w:r>
    </w:p>
    <w:p>
      <w:pPr>
        <w:spacing w:after="240"/>
        <w:jc w:val="center"/>
      </w:pPr>
      <w:r>
        <w:rPr>
          <w:rFonts w:ascii="Times New Roman" w:hAnsi="Times New Roman" w:eastAsia="Times New Roman"/>
          <w:b w:val="0"/>
          <w:i w:val="0"/>
          <w:color w:val="0563C1"/>
          <w:sz w:val="22"/>
        </w:rPr>
        <w:t>site@srs-automatic.ru    тел. 8-800-600-72-68,  +7 812 983-22-68</w:t>
      </w:r>
    </w:p>
    <w:p>
      <w:pPr>
        <w:spacing w:after="240"/>
        <w:jc w:val="center"/>
      </w:pPr>
      <w:r>
        <w:rPr>
          <w:rFonts w:ascii="Times New Roman" w:hAnsi="Times New Roman" w:eastAsia="Times New Roman"/>
          <w:b w:val="0"/>
          <w:i w:val="0"/>
          <w:sz w:val="30"/>
        </w:rPr>
        <w:t>Калькулятор потребления воздуха пневмоцилиндром</w:t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4" w:space="0" w:color="B7B7B7"/>
          <w:left w:val="single" w:sz="4" w:space="0" w:color="B7B7B7"/>
          <w:bottom w:val="single" w:sz="4" w:space="0" w:color="B7B7B7"/>
          <w:right w:val="single" w:sz="4" w:space="0" w:color="B7B7B7"/>
          <w:insideH w:val="single" w:sz="4" w:space="0" w:color="B7B7B7"/>
          <w:insideV w:val="single" w:sz="4" w:space="0" w:color="B7B7B7"/>
        </w:tblBorders>
      </w:tblPr>
      <w:tblGrid>
        <w:gridCol w:w="2494"/>
        <w:gridCol w:w="2494"/>
        <w:gridCol w:w="2494"/>
        <w:gridCol w:w="2494"/>
      </w:tblGrid>
      <w:tr>
        <w:tc>
          <w:tcPr>
            <w:tcW w:type="dxa" w:w="2100"/>
            <w:vAlign w:val="center"/>
          </w:tcPr>
          <w:p>
            <w:r/>
            <w:r>
              <w:rPr>
                <w:rFonts w:ascii="Times New Roman" w:hAnsi="Times New Roman" w:eastAsia="Times New Roman"/>
                <w:b/>
                <w:sz w:val="20"/>
              </w:rPr>
              <w:t>Заказчик:</w:t>
            </w:r>
          </w:p>
        </w:tc>
        <w:tc>
          <w:tcPr>
            <w:tcW w:type="dxa" w:w="3400"/>
            <w:vAlign w:val="center"/>
          </w:tcPr>
          <w:p>
            <w:pPr>
              <w:spacing w:after="0"/>
            </w:pPr>
            <w:r/>
            <w:sdt>
              <w:sdtPr>
                <w:alias w:val="srCustomer"/>
                <w:tag w:val="srCustomer"/>
                <w:text/>
              </w:sdtPr>
              <w:sdtContent>
                <w:r>
                  <w:t xml:space="preserve"> </w:t>
                </w:r>
              </w:sdtContent>
            </w:sdt>
          </w:p>
        </w:tc>
        <w:tc>
          <w:tcPr>
            <w:tcW w:type="dxa" w:w="1800"/>
            <w:vAlign w:val="center"/>
          </w:tcPr>
          <w:p>
            <w:r/>
            <w:r>
              <w:rPr>
                <w:rFonts w:ascii="Times New Roman" w:hAnsi="Times New Roman" w:eastAsia="Times New Roman"/>
                <w:b/>
                <w:sz w:val="20"/>
              </w:rPr>
              <w:t>Дата:</w:t>
            </w:r>
          </w:p>
        </w:tc>
        <w:tc>
          <w:tcPr>
            <w:tcW w:type="dxa" w:w="3000"/>
            <w:vAlign w:val="center"/>
          </w:tcPr>
          <w:p>
            <w:pPr>
              <w:spacing w:after="0"/>
            </w:pPr>
            <w:r/>
            <w:sdt>
              <w:sdtPr>
                <w:alias w:val="srDate"/>
                <w:tag w:val="srDate"/>
                <w:text/>
              </w:sdtPr>
              <w:sdtContent>
                <w:r>
                  <w:t xml:space="preserve"> </w:t>
                </w:r>
              </w:sdtContent>
            </w:sdt>
          </w:p>
        </w:tc>
      </w:tr>
      <w:tr>
        <w:tc>
          <w:tcPr>
            <w:tcW w:type="dxa" w:w="2100"/>
            <w:vAlign w:val="center"/>
          </w:tcPr>
          <w:p>
            <w:r/>
            <w:r>
              <w:rPr>
                <w:rFonts w:ascii="Times New Roman" w:hAnsi="Times New Roman" w:eastAsia="Times New Roman"/>
                <w:b/>
                <w:sz w:val="20"/>
              </w:rPr>
              <w:t>Представитель:</w:t>
            </w:r>
          </w:p>
        </w:tc>
        <w:tc>
          <w:tcPr>
            <w:tcW w:type="dxa" w:w="3400"/>
            <w:vAlign w:val="center"/>
          </w:tcPr>
          <w:p>
            <w:pPr>
              <w:spacing w:after="0"/>
            </w:pPr>
            <w:r/>
            <w:sdt>
              <w:sdtPr>
                <w:alias w:val="srManager"/>
                <w:tag w:val="srManager"/>
                <w:text/>
              </w:sdtPr>
              <w:sdtContent>
                <w:r>
                  <w:t xml:space="preserve"> </w:t>
                </w:r>
              </w:sdtContent>
            </w:sdt>
          </w:p>
        </w:tc>
        <w:tc>
          <w:tcPr>
            <w:tcW w:type="dxa" w:w="1800"/>
            <w:vAlign w:val="center"/>
          </w:tcPr>
          <w:p>
            <w:r/>
            <w:r>
              <w:rPr>
                <w:rFonts w:ascii="Times New Roman" w:hAnsi="Times New Roman" w:eastAsia="Times New Roman"/>
                <w:b/>
                <w:sz w:val="20"/>
              </w:rPr>
              <w:t>Техзапрос №:</w:t>
            </w:r>
          </w:p>
        </w:tc>
        <w:tc>
          <w:tcPr>
            <w:tcW w:type="dxa" w:w="3000"/>
            <w:vAlign w:val="center"/>
          </w:tcPr>
          <w:p>
            <w:pPr>
              <w:spacing w:after="0"/>
            </w:pPr>
            <w:r/>
            <w:sdt>
              <w:sdtPr>
                <w:alias w:val="srRequest"/>
                <w:tag w:val="srRequest"/>
                <w:text/>
              </w:sdtPr>
              <w:sdtContent>
                <w:r>
                  <w:t xml:space="preserve"> </w:t>
                </w:r>
              </w:sdtContent>
            </w:sdt>
          </w:p>
        </w:tc>
      </w:tr>
    </w:tbl>
    <w:p>
      <w:pPr>
        <w:spacing w:after="40"/>
      </w:pPr>
    </w:p>
    <w:p>
      <w:pPr>
        <w:spacing w:after="0"/>
        <w:jc w:val="center"/>
        <w:shd w:fill="D9D9D9"/>
      </w:pPr>
      <w:r>
        <w:rPr>
          <w:rFonts w:ascii="Times New Roman" w:hAnsi="Times New Roman" w:eastAsia="Times New Roman"/>
          <w:b/>
          <w:i w:val="0"/>
          <w:color w:val="000000"/>
          <w:sz w:val="22"/>
        </w:rPr>
        <w:t>ИСХОДНЫЕ ДАННЫЕ</w:t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9E9E9E"/>
          <w:left w:val="single" w:sz="6" w:space="0" w:color="9E9E9E"/>
          <w:bottom w:val="single" w:sz="6" w:space="0" w:color="9E9E9E"/>
          <w:right w:val="single" w:sz="6" w:space="0" w:color="9E9E9E"/>
          <w:insideH w:val="single" w:sz="6" w:space="0" w:color="9E9E9E"/>
          <w:insideV w:val="single" w:sz="6" w:space="0" w:color="9E9E9E"/>
        </w:tblBorders>
      </w:tblPr>
      <w:tblGrid>
        <w:gridCol w:w="4989"/>
        <w:gridCol w:w="4989"/>
      </w:tblGrid>
      <w:tr>
        <w:tc>
          <w:tcPr>
            <w:tcW w:type="dxa" w:w="4650"/>
            <w:vAlign w:val="center"/>
          </w:tcPr>
          <w:p>
            <w:pPr>
              <w:spacing w:after="0"/>
            </w:pPr>
            <w:r/>
            <w:r>
              <w:rPr>
                <w:rFonts w:ascii="Times New Roman" w:hAnsi="Times New Roman" w:eastAsia="Times New Roman"/>
                <w:b/>
                <w:sz w:val="22"/>
              </w:rPr>
              <w:t>Тип пневмоцилиндра</w:t>
            </w:r>
            <w:r>
              <w:rPr>
                <w:rFonts w:ascii="Times New Roman" w:hAnsi="Times New Roman" w:eastAsia="Times New Roman"/>
                <w:b/>
                <w:color w:val="FF6600"/>
                <w:sz w:val="22"/>
              </w:rPr>
              <w:t xml:space="preserve"> *</w:t>
            </w:r>
          </w:p>
          <w:p>
            <w:pPr>
              <w:spacing w:after="0"/>
            </w:pPr>
            <w:r>
              <w:rPr>
                <w:rFonts w:ascii="Times New Roman" w:hAnsi="Times New Roman" w:eastAsia="Times New Roman"/>
                <w:i/>
                <w:sz w:val="18"/>
              </w:rPr>
              <w:t>Варианты: двустороннего действия с односторонним штоком; одностороннего действия / пружинный возврат; двустороннего действия с двусторонним штоком.</w:t>
            </w:r>
          </w:p>
        </w:tc>
        <w:tc>
          <w:tcPr>
            <w:tcW w:type="dxa" w:w="6000"/>
            <w:vAlign w:val="center"/>
            <w:shd w:fill="FFFFFF"/>
          </w:tcPr>
          <w:p>
            <w:pPr>
              <w:spacing w:after="0"/>
            </w:pPr>
            <w:r/>
            <w:sdt>
              <w:sdtPr>
                <w:alias w:val="srType"/>
                <w:tag w:val="srType"/>
                <w:text/>
              </w:sdtPr>
              <w:sdtContent>
                <w:r>
                  <w:t xml:space="preserve">Двустороннего действия с односторонним штоком</w:t>
                </w:r>
              </w:sdtContent>
            </w:sdt>
          </w:p>
        </w:tc>
      </w:tr>
      <w:tr>
        <w:tc>
          <w:tcPr>
            <w:tcW w:type="dxa" w:w="4650"/>
            <w:vAlign w:val="center"/>
          </w:tcPr>
          <w:p>
            <w:pPr>
              <w:spacing w:after="0"/>
            </w:pPr>
            <w:r/>
            <w:r>
              <w:rPr>
                <w:rFonts w:ascii="Times New Roman" w:hAnsi="Times New Roman" w:eastAsia="Times New Roman"/>
                <w:b/>
                <w:sz w:val="22"/>
              </w:rPr>
              <w:t>Диаметр поршня D, мм</w:t>
            </w:r>
            <w:r>
              <w:rPr>
                <w:rFonts w:ascii="Times New Roman" w:hAnsi="Times New Roman" w:eastAsia="Times New Roman"/>
                <w:b/>
                <w:color w:val="FF6600"/>
                <w:sz w:val="22"/>
              </w:rPr>
              <w:t xml:space="preserve"> *</w:t>
            </w:r>
          </w:p>
        </w:tc>
        <w:tc>
          <w:tcPr>
            <w:tcW w:type="dxa" w:w="6000"/>
            <w:vAlign w:val="center"/>
            <w:shd w:fill="FFF9F2"/>
          </w:tcPr>
          <w:p>
            <w:pPr>
              <w:spacing w:after="0"/>
            </w:pPr>
            <w:r/>
            <w:sdt>
              <w:sdtPr>
                <w:alias w:val="srD"/>
                <w:tag w:val="srD"/>
                <w:text/>
              </w:sdtPr>
              <w:sdtContent>
                <w:r>
                  <w:t xml:space="preserve"> </w:t>
                </w:r>
              </w:sdtContent>
            </w:sdt>
          </w:p>
        </w:tc>
      </w:tr>
      <w:tr>
        <w:tc>
          <w:tcPr>
            <w:tcW w:type="dxa" w:w="4650"/>
            <w:vAlign w:val="center"/>
          </w:tcPr>
          <w:p>
            <w:pPr>
              <w:spacing w:after="0"/>
            </w:pPr>
            <w:r/>
            <w:r>
              <w:rPr>
                <w:rFonts w:ascii="Times New Roman" w:hAnsi="Times New Roman" w:eastAsia="Times New Roman"/>
                <w:b/>
                <w:sz w:val="22"/>
              </w:rPr>
              <w:t>Диаметр штока d, мм</w:t>
            </w:r>
            <w:r>
              <w:rPr>
                <w:rFonts w:ascii="Times New Roman" w:hAnsi="Times New Roman" w:eastAsia="Times New Roman"/>
                <w:b/>
                <w:color w:val="FF6600"/>
                <w:sz w:val="22"/>
              </w:rPr>
              <w:t xml:space="preserve"> *</w:t>
            </w:r>
          </w:p>
          <w:p>
            <w:pPr>
              <w:spacing w:after="0"/>
            </w:pPr>
            <w:r>
              <w:rPr>
                <w:rFonts w:ascii="Times New Roman" w:hAnsi="Times New Roman" w:eastAsia="Times New Roman"/>
                <w:i/>
                <w:sz w:val="18"/>
              </w:rPr>
              <w:t>Если шток не учитывается, можно оставить 0.</w:t>
            </w:r>
          </w:p>
        </w:tc>
        <w:tc>
          <w:tcPr>
            <w:tcW w:type="dxa" w:w="6000"/>
            <w:vAlign w:val="center"/>
            <w:shd w:fill="FFFFFF"/>
          </w:tcPr>
          <w:p>
            <w:pPr>
              <w:spacing w:after="0"/>
            </w:pPr>
            <w:r/>
            <w:sdt>
              <w:sdtPr>
                <w:alias w:val="srRod"/>
                <w:tag w:val="srRod"/>
                <w:text/>
              </w:sdtPr>
              <w:sdtContent>
                <w:r>
                  <w:t xml:space="preserve">0</w:t>
                </w:r>
              </w:sdtContent>
            </w:sdt>
          </w:p>
        </w:tc>
      </w:tr>
      <w:tr>
        <w:tc>
          <w:tcPr>
            <w:tcW w:type="dxa" w:w="4650"/>
            <w:vAlign w:val="center"/>
          </w:tcPr>
          <w:p>
            <w:pPr>
              <w:spacing w:after="0"/>
            </w:pPr>
            <w:r/>
            <w:r>
              <w:rPr>
                <w:rFonts w:ascii="Times New Roman" w:hAnsi="Times New Roman" w:eastAsia="Times New Roman"/>
                <w:b/>
                <w:sz w:val="22"/>
              </w:rPr>
              <w:t>Ход цилиндра L, мм</w:t>
            </w:r>
            <w:r>
              <w:rPr>
                <w:rFonts w:ascii="Times New Roman" w:hAnsi="Times New Roman" w:eastAsia="Times New Roman"/>
                <w:b/>
                <w:color w:val="FF6600"/>
                <w:sz w:val="22"/>
              </w:rPr>
              <w:t xml:space="preserve"> *</w:t>
            </w:r>
          </w:p>
        </w:tc>
        <w:tc>
          <w:tcPr>
            <w:tcW w:type="dxa" w:w="6000"/>
            <w:vAlign w:val="center"/>
            <w:shd w:fill="FFF9F2"/>
          </w:tcPr>
          <w:p>
            <w:pPr>
              <w:spacing w:after="0"/>
            </w:pPr>
            <w:r/>
            <w:sdt>
              <w:sdtPr>
                <w:alias w:val="srStroke"/>
                <w:tag w:val="srStroke"/>
                <w:text/>
              </w:sdtPr>
              <w:sdtContent>
                <w:r>
                  <w:t xml:space="preserve"> </w:t>
                </w:r>
              </w:sdtContent>
            </w:sdt>
          </w:p>
        </w:tc>
      </w:tr>
      <w:tr>
        <w:tc>
          <w:tcPr>
            <w:tcW w:type="dxa" w:w="4650"/>
            <w:vAlign w:val="center"/>
          </w:tcPr>
          <w:p>
            <w:pPr>
              <w:spacing w:after="0"/>
            </w:pPr>
            <w:r/>
            <w:r>
              <w:rPr>
                <w:rFonts w:ascii="Times New Roman" w:hAnsi="Times New Roman" w:eastAsia="Times New Roman"/>
                <w:b/>
                <w:sz w:val="22"/>
              </w:rPr>
              <w:t>Рабочее давление, бар (изб.)</w:t>
            </w:r>
            <w:r>
              <w:rPr>
                <w:rFonts w:ascii="Times New Roman" w:hAnsi="Times New Roman" w:eastAsia="Times New Roman"/>
                <w:b/>
                <w:color w:val="FF6600"/>
                <w:sz w:val="22"/>
              </w:rPr>
              <w:t xml:space="preserve"> *</w:t>
            </w:r>
          </w:p>
        </w:tc>
        <w:tc>
          <w:tcPr>
            <w:tcW w:type="dxa" w:w="6000"/>
            <w:vAlign w:val="center"/>
            <w:shd w:fill="FFF9F2"/>
          </w:tcPr>
          <w:p>
            <w:pPr>
              <w:spacing w:after="0"/>
            </w:pPr>
            <w:r/>
            <w:sdt>
              <w:sdtPr>
                <w:alias w:val="srPressure"/>
                <w:tag w:val="srPressure"/>
                <w:text/>
              </w:sdtPr>
              <w:sdtContent>
                <w:r>
                  <w:t xml:space="preserve"> </w:t>
                </w:r>
              </w:sdtContent>
            </w:sdt>
          </w:p>
        </w:tc>
      </w:tr>
      <w:tr>
        <w:tc>
          <w:tcPr>
            <w:tcW w:type="dxa" w:w="4650"/>
            <w:vAlign w:val="center"/>
          </w:tcPr>
          <w:p>
            <w:pPr>
              <w:spacing w:after="0"/>
            </w:pPr>
            <w:r/>
            <w:r>
              <w:rPr>
                <w:rFonts w:ascii="Times New Roman" w:hAnsi="Times New Roman" w:eastAsia="Times New Roman"/>
                <w:b/>
                <w:sz w:val="22"/>
              </w:rPr>
              <w:t>Количество полных циклов в минуту</w:t>
            </w:r>
            <w:r>
              <w:rPr>
                <w:rFonts w:ascii="Times New Roman" w:hAnsi="Times New Roman" w:eastAsia="Times New Roman"/>
                <w:b/>
                <w:color w:val="FF6600"/>
                <w:sz w:val="22"/>
              </w:rPr>
              <w:t xml:space="preserve"> *</w:t>
            </w:r>
          </w:p>
          <w:p>
            <w:pPr>
              <w:spacing w:after="0"/>
            </w:pPr>
            <w:r>
              <w:rPr>
                <w:rFonts w:ascii="Times New Roman" w:hAnsi="Times New Roman" w:eastAsia="Times New Roman"/>
                <w:i/>
                <w:sz w:val="18"/>
              </w:rPr>
              <w:t>Один полный цикл = ход выдвижения и ход втягивания.</w:t>
            </w:r>
          </w:p>
        </w:tc>
        <w:tc>
          <w:tcPr>
            <w:tcW w:type="dxa" w:w="6000"/>
            <w:vAlign w:val="center"/>
            <w:shd w:fill="FFF9F2"/>
          </w:tcPr>
          <w:p>
            <w:pPr>
              <w:spacing w:after="0"/>
            </w:pPr>
            <w:r/>
            <w:sdt>
              <w:sdtPr>
                <w:alias w:val="srCycles"/>
                <w:tag w:val="srCycles"/>
                <w:text/>
              </w:sdtPr>
              <w:sdtContent>
                <w:r>
                  <w:t xml:space="preserve"> </w:t>
                </w:r>
              </w:sdtContent>
            </w:sdt>
          </w:p>
        </w:tc>
      </w:tr>
      <w:tr>
        <w:tc>
          <w:tcPr>
            <w:tcW w:type="dxa" w:w="4650"/>
            <w:vAlign w:val="center"/>
          </w:tcPr>
          <w:p>
            <w:pPr>
              <w:spacing w:after="0"/>
            </w:pPr>
            <w:r/>
            <w:r>
              <w:rPr>
                <w:rFonts w:ascii="Times New Roman" w:hAnsi="Times New Roman" w:eastAsia="Times New Roman"/>
                <w:b/>
                <w:sz w:val="22"/>
              </w:rPr>
              <w:t>Количество цилиндров, шт.</w:t>
            </w:r>
            <w:r>
              <w:rPr>
                <w:rFonts w:ascii="Times New Roman" w:hAnsi="Times New Roman" w:eastAsia="Times New Roman"/>
                <w:b/>
                <w:color w:val="FF6600"/>
                <w:sz w:val="22"/>
              </w:rPr>
              <w:t xml:space="preserve"> *</w:t>
            </w:r>
          </w:p>
        </w:tc>
        <w:tc>
          <w:tcPr>
            <w:tcW w:type="dxa" w:w="6000"/>
            <w:vAlign w:val="center"/>
            <w:shd w:fill="FFFFFF"/>
          </w:tcPr>
          <w:p>
            <w:pPr>
              <w:spacing w:after="0"/>
            </w:pPr>
            <w:r/>
            <w:sdt>
              <w:sdtPr>
                <w:alias w:val="srCount"/>
                <w:tag w:val="srCount"/>
                <w:text/>
              </w:sdtPr>
              <w:sdtContent>
                <w:r>
                  <w:t xml:space="preserve">1</w:t>
                </w:r>
              </w:sdtContent>
            </w:sdt>
          </w:p>
        </w:tc>
      </w:tr>
      <w:tr>
        <w:tc>
          <w:tcPr>
            <w:tcW w:type="dxa" w:w="4650"/>
            <w:vAlign w:val="center"/>
          </w:tcPr>
          <w:p>
            <w:pPr>
              <w:spacing w:after="0"/>
            </w:pPr>
            <w:r/>
            <w:r>
              <w:rPr>
                <w:rFonts w:ascii="Times New Roman" w:hAnsi="Times New Roman" w:eastAsia="Times New Roman"/>
                <w:b/>
                <w:sz w:val="22"/>
              </w:rPr>
              <w:t>Коэффициент запаса</w:t>
            </w:r>
            <w:r>
              <w:rPr>
                <w:rFonts w:ascii="Times New Roman" w:hAnsi="Times New Roman" w:eastAsia="Times New Roman"/>
                <w:b/>
                <w:color w:val="FF6600"/>
                <w:sz w:val="22"/>
              </w:rPr>
              <w:t xml:space="preserve"> *</w:t>
            </w:r>
          </w:p>
          <w:p>
            <w:pPr>
              <w:spacing w:after="0"/>
            </w:pPr>
            <w:r>
              <w:rPr>
                <w:rFonts w:ascii="Times New Roman" w:hAnsi="Times New Roman" w:eastAsia="Times New Roman"/>
                <w:i/>
                <w:sz w:val="18"/>
              </w:rPr>
              <w:t>Можно оставить 1, если запас не требуется.</w:t>
            </w:r>
          </w:p>
        </w:tc>
        <w:tc>
          <w:tcPr>
            <w:tcW w:type="dxa" w:w="6000"/>
            <w:vAlign w:val="center"/>
            <w:shd w:fill="FFFFFF"/>
          </w:tcPr>
          <w:p>
            <w:pPr>
              <w:spacing w:after="0"/>
            </w:pPr>
            <w:r/>
            <w:sdt>
              <w:sdtPr>
                <w:alias w:val="srReserve"/>
                <w:tag w:val="srReserve"/>
                <w:text/>
              </w:sdtPr>
              <w:sdtContent>
                <w:r>
                  <w:t xml:space="preserve">1</w:t>
                </w:r>
              </w:sdtContent>
            </w:sdt>
          </w:p>
        </w:tc>
      </w:tr>
      <w:tr>
        <w:tc>
          <w:tcPr>
            <w:tcW w:type="dxa" w:w="4650"/>
            <w:vAlign w:val="center"/>
          </w:tcPr>
          <w:p>
            <w:pPr>
              <w:spacing w:after="0"/>
            </w:pPr>
            <w:r/>
            <w:r>
              <w:rPr>
                <w:rFonts w:ascii="Times New Roman" w:hAnsi="Times New Roman" w:eastAsia="Times New Roman"/>
                <w:b/>
                <w:sz w:val="22"/>
              </w:rPr>
              <w:t>Комментарий</w:t>
            </w:r>
            <w:r>
              <w:rPr>
                <w:rFonts w:ascii="Times New Roman" w:hAnsi="Times New Roman" w:eastAsia="Times New Roman"/>
                <w:b/>
                <w:color w:val="FF6600"/>
                <w:sz w:val="22"/>
              </w:rPr>
              <w:t xml:space="preserve"> *</w:t>
            </w:r>
          </w:p>
          <w:p>
            <w:pPr>
              <w:spacing w:after="0"/>
            </w:pPr>
            <w:r>
              <w:rPr>
                <w:rFonts w:ascii="Times New Roman" w:hAnsi="Times New Roman" w:eastAsia="Times New Roman"/>
                <w:i/>
                <w:sz w:val="18"/>
              </w:rPr>
              <w:t>Условия работы, серия цилиндра, особенности системы и т. п.</w:t>
            </w:r>
          </w:p>
        </w:tc>
        <w:tc>
          <w:tcPr>
            <w:tcW w:type="dxa" w:w="6000"/>
            <w:vAlign w:val="center"/>
            <w:shd w:fill="FFFFFF"/>
          </w:tcPr>
          <w:p>
            <w:pPr>
              <w:spacing w:after="0"/>
            </w:pPr>
            <w:r/>
            <w:sdt>
              <w:sdtPr>
                <w:alias w:val="srComment"/>
                <w:tag w:val="srComment"/>
                <w:text/>
              </w:sdtPr>
              <w:sdtContent>
                <w:r>
                  <w:t xml:space="preserve"> </w:t>
                </w:r>
              </w:sdtContent>
            </w:sdt>
          </w:p>
        </w:tc>
      </w:tr>
    </w:tbl>
    <w:p>
      <w:pPr>
        <w:spacing w:after="40"/>
      </w:pP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</w:tblPr>
      <w:tblGrid>
        <w:gridCol w:w="4989"/>
        <w:gridCol w:w="4989"/>
      </w:tblGrid>
      <w:tr>
        <w:tc>
          <w:tcPr>
            <w:tcW w:type="dxa" w:w="2800"/>
            <w:shd w:fill="0B78BC"/>
            <w:tcBorders>
              <w:top w:val="single" w:sz="8" w:color="0B78BC"/>
              <w:left w:val="single" w:sz="8" w:color="0B78BC"/>
              <w:bottom w:val="single" w:sz="8" w:color="0B78BC"/>
              <w:right w:val="single" w:sz="8" w:color="0B78BC"/>
            </w:tcBorders>
          </w:tcPr>
          <w:p>
            <w:pPr>
              <w:spacing w:after="0"/>
              <w:jc w:val="center"/>
            </w:pPr>
            <w:r>
              <w:fldChar w:fldCharType="begin"/>
            </w:r>
            <w:r>
              <w:instrText xml:space="preserve"> MACROBUTTON Raschet Рассчитать </w:instrText>
            </w:r>
            <w:r>
              <w:fldChar w:fldCharType="separate"/>
            </w:r>
            <w:r>
              <w:rPr>
                <w:b/>
                <w:sz w:val="22"/>
                <w:color w:val="FFFFFF"/>
                <w:rFonts w:ascii="Times New Roman" w:hAnsi="Times New Roman" w:cs="Times New Roman"/>
              </w:rPr>
              <w:t>Рассчитать</w:t>
            </w:r>
            <w:r>
              <w:fldChar w:fldCharType="end"/>
            </w:r>
          </w:p>
        </w:tc>
        <w:tc>
          <w:tcPr>
            <w:tcW w:type="dxa" w:w="2800"/>
            <w:shd w:fill="FFFFFF"/>
            <w:tcBorders>
              <w:top w:val="single" w:sz="8" w:color="0B78BC"/>
              <w:left w:val="single" w:sz="8" w:color="0B78BC"/>
              <w:bottom w:val="single" w:sz="8" w:color="0B78BC"/>
              <w:right w:val="single" w:sz="8" w:color="0B78BC"/>
            </w:tcBorders>
          </w:tcPr>
          <w:p>
            <w:pPr>
              <w:spacing w:after="0"/>
              <w:jc w:val="center"/>
            </w:pPr>
            <w:r>
              <w:fldChar w:fldCharType="begin"/>
            </w:r>
            <w:r>
              <w:instrText xml:space="preserve"> MACROBUTTON OchistitList Очистить лист </w:instrText>
            </w:r>
            <w:r>
              <w:fldChar w:fldCharType="separate"/>
            </w:r>
            <w:r>
              <w:rPr>
                <w:b/>
                <w:sz w:val="22"/>
                <w:color w:val="0B78BC"/>
                <w:rFonts w:ascii="Times New Roman" w:hAnsi="Times New Roman" w:cs="Times New Roman"/>
              </w:rPr>
              <w:t>Очистить лист</w:t>
            </w:r>
            <w:r>
              <w:fldChar w:fldCharType="end"/>
            </w:r>
          </w:p>
        </w:tc>
      </w:tr>
    </w:tbl>
    <w:p>
      <w:pPr>
        <w:spacing w:after="40"/>
      </w:pPr>
      <w:r>
        <w:rPr>
          <w:rFonts w:ascii="Times New Roman" w:hAnsi="Times New Roman" w:eastAsia="Times New Roman"/>
          <w:b w:val="0"/>
          <w:i/>
          <w:color w:val="555555"/>
          <w:sz w:val="18"/>
        </w:rPr>
        <w:t>Кнопки работают при включённых макросах в Microsoft Word. После заполнения обязательных полей можно нажать «Рассчитать» или выйти из поля ввода — расчёт обновится автоматически.</w:t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4" w:space="0" w:color="B7B7B7"/>
          <w:left w:val="single" w:sz="4" w:space="0" w:color="B7B7B7"/>
          <w:bottom w:val="single" w:sz="4" w:space="0" w:color="B7B7B7"/>
          <w:right w:val="single" w:sz="4" w:space="0" w:color="B7B7B7"/>
          <w:insideH w:val="single" w:sz="4" w:space="0" w:color="B7B7B7"/>
          <w:insideV w:val="single" w:sz="4" w:space="0" w:color="B7B7B7"/>
        </w:tblBorders>
      </w:tblPr>
      <w:tblGrid>
        <w:gridCol w:w="4989"/>
        <w:gridCol w:w="4989"/>
      </w:tblGrid>
      <w:tr>
        <w:tc>
          <w:tcPr>
            <w:tcW w:type="dxa" w:w="2600"/>
          </w:tcPr>
          <w:p>
            <w:r/>
            <w:r>
              <w:rPr>
                <w:rFonts w:ascii="Times New Roman" w:hAnsi="Times New Roman" w:eastAsia="Times New Roman"/>
                <w:b/>
                <w:sz w:val="18"/>
              </w:rPr>
              <w:t>Сообщение проверки:</w:t>
            </w:r>
          </w:p>
        </w:tc>
        <w:tc>
          <w:tcPr>
            <w:tcW w:type="dxa" w:w="7900"/>
          </w:tcPr>
          <w:p>
            <w:pPr>
              <w:spacing w:after="0"/>
            </w:pPr>
            <w:r/>
            <w:sdt>
              <w:sdtPr>
                <w:alias w:val="srMessage"/>
                <w:tag w:val="srMessage"/>
                <w:text/>
              </w:sdtPr>
              <w:sdtContent>
                <w:r>
                  <w:t xml:space="preserve">—</w:t>
                </w:r>
              </w:sdtContent>
            </w:sdt>
          </w:p>
        </w:tc>
      </w:tr>
    </w:tbl>
    <w:p>
      <w:pPr>
        <w:spacing w:after="20"/>
      </w:pPr>
    </w:p>
    <w:p>
      <w:r>
        <w:br w:type="page"/>
      </w:r>
    </w:p>
    <w:p>
      <w:pPr>
        <w:spacing w:after="0"/>
        <w:jc w:val="center"/>
        <w:shd w:fill="D9D9D9"/>
      </w:pPr>
      <w:r>
        <w:rPr>
          <w:rFonts w:ascii="Times New Roman" w:hAnsi="Times New Roman" w:eastAsia="Times New Roman"/>
          <w:b/>
          <w:i w:val="0"/>
          <w:sz w:val="22"/>
        </w:rPr>
        <w:t>РЕЗУЛЬТАТЫ РАСЧЁТА</w:t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9E9E9E"/>
          <w:left w:val="single" w:sz="6" w:space="0" w:color="9E9E9E"/>
          <w:bottom w:val="single" w:sz="6" w:space="0" w:color="9E9E9E"/>
          <w:right w:val="single" w:sz="6" w:space="0" w:color="9E9E9E"/>
          <w:insideH w:val="single" w:sz="6" w:space="0" w:color="9E9E9E"/>
          <w:insideV w:val="single" w:sz="6" w:space="0" w:color="9E9E9E"/>
        </w:tblBorders>
      </w:tblPr>
      <w:tblGrid>
        <w:gridCol w:w="3326"/>
        <w:gridCol w:w="3326"/>
        <w:gridCol w:w="3326"/>
      </w:tblGrid>
      <w:tr>
        <w:tc>
          <w:tcPr>
            <w:tcW w:type="dxa" w:w="5200"/>
            <w:shd w:fill="F7F7F7"/>
          </w:tcPr>
          <w:p>
            <w:r/>
            <w:r>
              <w:rPr>
                <w:rFonts w:ascii="Times New Roman" w:hAnsi="Times New Roman" w:eastAsia="Times New Roman"/>
                <w:b/>
                <w:sz w:val="20"/>
              </w:rPr>
              <w:t>Площадь поршня</w:t>
            </w:r>
          </w:p>
        </w:tc>
        <w:tc>
          <w:tcPr>
            <w:tcW w:type="dxa" w:w="3000"/>
            <w:shd w:fill="F7F7F7"/>
          </w:tcPr>
          <w:p>
            <w:pPr>
              <w:spacing w:after="0"/>
              <w:jc w:val="right"/>
            </w:pPr>
            <w:r/>
            <w:sdt>
              <w:sdtPr>
                <w:alias w:val="srAreaPiston"/>
                <w:tag w:val="srAreaPiston"/>
                <w:text/>
              </w:sdtPr>
              <w:sdtContent>
                <w:r>
                  <w:t xml:space="preserve">—</w:t>
                </w:r>
              </w:sdtContent>
            </w:sdt>
          </w:p>
        </w:tc>
        <w:tc>
          <w:tcPr>
            <w:tcW w:type="dxa" w:w="1300"/>
            <w:shd w:fill="F7F7F7"/>
          </w:tcPr>
          <w:p>
            <w:r/>
            <w:r>
              <w:rPr>
                <w:rFonts w:ascii="Times New Roman" w:hAnsi="Times New Roman" w:eastAsia="Times New Roman"/>
                <w:b w:val="0"/>
                <w:sz w:val="20"/>
              </w:rPr>
              <w:t>мм²</w:t>
            </w:r>
          </w:p>
        </w:tc>
      </w:tr>
      <w:tr>
        <w:tc>
          <w:tcPr>
            <w:tcW w:type="dxa" w:w="5200"/>
          </w:tcPr>
          <w:p>
            <w:r/>
            <w:r>
              <w:rPr>
                <w:rFonts w:ascii="Times New Roman" w:hAnsi="Times New Roman" w:eastAsia="Times New Roman"/>
                <w:b/>
                <w:sz w:val="20"/>
              </w:rPr>
              <w:t>Площадь штока</w:t>
            </w:r>
          </w:p>
        </w:tc>
        <w:tc>
          <w:tcPr>
            <w:tcW w:type="dxa" w:w="3000"/>
          </w:tcPr>
          <w:p>
            <w:pPr>
              <w:spacing w:after="0"/>
              <w:jc w:val="right"/>
            </w:pPr>
            <w:r/>
            <w:sdt>
              <w:sdtPr>
                <w:alias w:val="srAreaRod"/>
                <w:tag w:val="srAreaRod"/>
                <w:text/>
              </w:sdtPr>
              <w:sdtContent>
                <w:r>
                  <w:t xml:space="preserve">—</w:t>
                </w:r>
              </w:sdtContent>
            </w:sdt>
          </w:p>
        </w:tc>
        <w:tc>
          <w:tcPr>
            <w:tcW w:type="dxa" w:w="1300"/>
          </w:tcPr>
          <w:p>
            <w:r/>
            <w:r>
              <w:rPr>
                <w:rFonts w:ascii="Times New Roman" w:hAnsi="Times New Roman" w:eastAsia="Times New Roman"/>
                <w:b w:val="0"/>
                <w:sz w:val="20"/>
              </w:rPr>
              <w:t>мм²</w:t>
            </w:r>
          </w:p>
        </w:tc>
      </w:tr>
      <w:tr>
        <w:tc>
          <w:tcPr>
            <w:tcW w:type="dxa" w:w="5200"/>
            <w:shd w:fill="F7F7F7"/>
          </w:tcPr>
          <w:p>
            <w:r/>
            <w:r>
              <w:rPr>
                <w:rFonts w:ascii="Times New Roman" w:hAnsi="Times New Roman" w:eastAsia="Times New Roman"/>
                <w:b/>
                <w:sz w:val="20"/>
              </w:rPr>
              <w:t>Объём поршневой полости за ход</w:t>
            </w:r>
          </w:p>
        </w:tc>
        <w:tc>
          <w:tcPr>
            <w:tcW w:type="dxa" w:w="3000"/>
            <w:shd w:fill="F7F7F7"/>
          </w:tcPr>
          <w:p>
            <w:pPr>
              <w:spacing w:after="0"/>
              <w:jc w:val="right"/>
            </w:pPr>
            <w:r/>
            <w:sdt>
              <w:sdtPr>
                <w:alias w:val="srVolumeOut"/>
                <w:tag w:val="srVolumeOut"/>
                <w:text/>
              </w:sdtPr>
              <w:sdtContent>
                <w:r>
                  <w:t xml:space="preserve">—</w:t>
                </w:r>
              </w:sdtContent>
            </w:sdt>
          </w:p>
        </w:tc>
        <w:tc>
          <w:tcPr>
            <w:tcW w:type="dxa" w:w="1300"/>
            <w:shd w:fill="F7F7F7"/>
          </w:tcPr>
          <w:p>
            <w:r/>
            <w:r>
              <w:rPr>
                <w:rFonts w:ascii="Times New Roman" w:hAnsi="Times New Roman" w:eastAsia="Times New Roman"/>
                <w:b w:val="0"/>
                <w:sz w:val="20"/>
              </w:rPr>
              <w:t>л</w:t>
            </w:r>
          </w:p>
        </w:tc>
      </w:tr>
      <w:tr>
        <w:tc>
          <w:tcPr>
            <w:tcW w:type="dxa" w:w="5200"/>
          </w:tcPr>
          <w:p>
            <w:r/>
            <w:r>
              <w:rPr>
                <w:rFonts w:ascii="Times New Roman" w:hAnsi="Times New Roman" w:eastAsia="Times New Roman"/>
                <w:b/>
                <w:sz w:val="20"/>
              </w:rPr>
              <w:t>Объём штоковой полости за ход</w:t>
            </w:r>
          </w:p>
        </w:tc>
        <w:tc>
          <w:tcPr>
            <w:tcW w:type="dxa" w:w="3000"/>
          </w:tcPr>
          <w:p>
            <w:pPr>
              <w:spacing w:after="0"/>
              <w:jc w:val="right"/>
            </w:pPr>
            <w:r/>
            <w:sdt>
              <w:sdtPr>
                <w:alias w:val="srVolumeIn"/>
                <w:tag w:val="srVolumeIn"/>
                <w:text/>
              </w:sdtPr>
              <w:sdtContent>
                <w:r>
                  <w:t xml:space="preserve">—</w:t>
                </w:r>
              </w:sdtContent>
            </w:sdt>
          </w:p>
        </w:tc>
        <w:tc>
          <w:tcPr>
            <w:tcW w:type="dxa" w:w="1300"/>
          </w:tcPr>
          <w:p>
            <w:r/>
            <w:r>
              <w:rPr>
                <w:rFonts w:ascii="Times New Roman" w:hAnsi="Times New Roman" w:eastAsia="Times New Roman"/>
                <w:b w:val="0"/>
                <w:sz w:val="20"/>
              </w:rPr>
              <w:t>л</w:t>
            </w:r>
          </w:p>
        </w:tc>
      </w:tr>
      <w:tr>
        <w:tc>
          <w:tcPr>
            <w:tcW w:type="dxa" w:w="5200"/>
            <w:shd w:fill="F7F7F7"/>
          </w:tcPr>
          <w:p>
            <w:r/>
            <w:r>
              <w:rPr>
                <w:rFonts w:ascii="Times New Roman" w:hAnsi="Times New Roman" w:eastAsia="Times New Roman"/>
                <w:b/>
                <w:sz w:val="20"/>
              </w:rPr>
              <w:t>Потребление за 1 цикл</w:t>
            </w:r>
          </w:p>
        </w:tc>
        <w:tc>
          <w:tcPr>
            <w:tcW w:type="dxa" w:w="3000"/>
            <w:shd w:fill="F7F7F7"/>
          </w:tcPr>
          <w:p>
            <w:pPr>
              <w:spacing w:after="0"/>
              <w:jc w:val="right"/>
            </w:pPr>
            <w:r/>
            <w:sdt>
              <w:sdtPr>
                <w:alias w:val="srCycle"/>
                <w:tag w:val="srCycle"/>
                <w:text/>
              </w:sdtPr>
              <w:sdtContent>
                <w:r>
                  <w:t xml:space="preserve">—</w:t>
                </w:r>
              </w:sdtContent>
            </w:sdt>
          </w:p>
        </w:tc>
        <w:tc>
          <w:tcPr>
            <w:tcW w:type="dxa" w:w="1300"/>
            <w:shd w:fill="F7F7F7"/>
          </w:tcPr>
          <w:p>
            <w:r/>
            <w:r>
              <w:rPr>
                <w:rFonts w:ascii="Times New Roman" w:hAnsi="Times New Roman" w:eastAsia="Times New Roman"/>
                <w:b w:val="0"/>
                <w:sz w:val="20"/>
              </w:rPr>
              <w:t>нл/цикл</w:t>
            </w:r>
          </w:p>
        </w:tc>
      </w:tr>
      <w:tr>
        <w:tc>
          <w:tcPr>
            <w:tcW w:type="dxa" w:w="5200"/>
          </w:tcPr>
          <w:p>
            <w:r/>
            <w:r>
              <w:rPr>
                <w:rFonts w:ascii="Times New Roman" w:hAnsi="Times New Roman" w:eastAsia="Times New Roman"/>
                <w:b/>
                <w:sz w:val="20"/>
              </w:rPr>
              <w:t>Потребление в минуту</w:t>
            </w:r>
          </w:p>
        </w:tc>
        <w:tc>
          <w:tcPr>
            <w:tcW w:type="dxa" w:w="3000"/>
          </w:tcPr>
          <w:p>
            <w:pPr>
              <w:spacing w:after="0"/>
              <w:jc w:val="right"/>
            </w:pPr>
            <w:r/>
            <w:sdt>
              <w:sdtPr>
                <w:alias w:val="srMinute"/>
                <w:tag w:val="srMinute"/>
                <w:text/>
              </w:sdtPr>
              <w:sdtContent>
                <w:r>
                  <w:t xml:space="preserve">—</w:t>
                </w:r>
              </w:sdtContent>
            </w:sdt>
          </w:p>
        </w:tc>
        <w:tc>
          <w:tcPr>
            <w:tcW w:type="dxa" w:w="1300"/>
          </w:tcPr>
          <w:p>
            <w:r/>
            <w:r>
              <w:rPr>
                <w:rFonts w:ascii="Times New Roman" w:hAnsi="Times New Roman" w:eastAsia="Times New Roman"/>
                <w:b w:val="0"/>
                <w:sz w:val="20"/>
              </w:rPr>
              <w:t>нл/мин</w:t>
            </w:r>
          </w:p>
        </w:tc>
      </w:tr>
      <w:tr>
        <w:tc>
          <w:tcPr>
            <w:tcW w:type="dxa" w:w="5200"/>
            <w:shd w:fill="F7F7F7"/>
          </w:tcPr>
          <w:p>
            <w:r/>
            <w:r>
              <w:rPr>
                <w:rFonts w:ascii="Times New Roman" w:hAnsi="Times New Roman" w:eastAsia="Times New Roman"/>
                <w:b/>
                <w:sz w:val="20"/>
              </w:rPr>
              <w:t>Потребление в час</w:t>
            </w:r>
          </w:p>
        </w:tc>
        <w:tc>
          <w:tcPr>
            <w:tcW w:type="dxa" w:w="3000"/>
            <w:shd w:fill="F7F7F7"/>
          </w:tcPr>
          <w:p>
            <w:pPr>
              <w:spacing w:after="0"/>
              <w:jc w:val="right"/>
            </w:pPr>
            <w:r/>
            <w:sdt>
              <w:sdtPr>
                <w:alias w:val="srHourLiters"/>
                <w:tag w:val="srHourLiters"/>
                <w:text/>
              </w:sdtPr>
              <w:sdtContent>
                <w:r>
                  <w:t xml:space="preserve">—</w:t>
                </w:r>
              </w:sdtContent>
            </w:sdt>
          </w:p>
        </w:tc>
        <w:tc>
          <w:tcPr>
            <w:tcW w:type="dxa" w:w="1300"/>
            <w:shd w:fill="F7F7F7"/>
          </w:tcPr>
          <w:p>
            <w:r/>
            <w:r>
              <w:rPr>
                <w:rFonts w:ascii="Times New Roman" w:hAnsi="Times New Roman" w:eastAsia="Times New Roman"/>
                <w:b w:val="0"/>
                <w:sz w:val="20"/>
              </w:rPr>
              <w:t>нл/ч</w:t>
            </w:r>
          </w:p>
        </w:tc>
      </w:tr>
      <w:tr>
        <w:tc>
          <w:tcPr>
            <w:tcW w:type="dxa" w:w="5200"/>
          </w:tcPr>
          <w:p>
            <w:r/>
            <w:r>
              <w:rPr>
                <w:rFonts w:ascii="Times New Roman" w:hAnsi="Times New Roman" w:eastAsia="Times New Roman"/>
                <w:b/>
                <w:sz w:val="20"/>
              </w:rPr>
              <w:t>Потребление в час</w:t>
            </w:r>
          </w:p>
        </w:tc>
        <w:tc>
          <w:tcPr>
            <w:tcW w:type="dxa" w:w="3000"/>
          </w:tcPr>
          <w:p>
            <w:pPr>
              <w:spacing w:after="0"/>
              <w:jc w:val="right"/>
            </w:pPr>
            <w:r/>
            <w:sdt>
              <w:sdtPr>
                <w:alias w:val="srHourM3"/>
                <w:tag w:val="srHourM3"/>
                <w:text/>
              </w:sdtPr>
              <w:sdtContent>
                <w:r>
                  <w:t xml:space="preserve">—</w:t>
                </w:r>
              </w:sdtContent>
            </w:sdt>
          </w:p>
        </w:tc>
        <w:tc>
          <w:tcPr>
            <w:tcW w:type="dxa" w:w="1300"/>
          </w:tcPr>
          <w:p>
            <w:r/>
            <w:r>
              <w:rPr>
                <w:rFonts w:ascii="Times New Roman" w:hAnsi="Times New Roman" w:eastAsia="Times New Roman"/>
                <w:b w:val="0"/>
                <w:sz w:val="20"/>
              </w:rPr>
              <w:t>нм³/ч</w:t>
            </w:r>
          </w:p>
        </w:tc>
      </w:tr>
    </w:tbl>
    <w:p>
      <w:pPr>
        <w:spacing w:after="120"/>
        <w:jc w:val="center"/>
        <w:shd w:fill="D9D9D9"/>
      </w:pPr>
      <w:r>
        <w:rPr>
          <w:rFonts w:ascii="Times New Roman" w:hAnsi="Times New Roman" w:eastAsia="Times New Roman"/>
          <w:b/>
          <w:i w:val="0"/>
          <w:sz w:val="22"/>
        </w:rPr>
        <w:t>ФОРМУЛЫ РАСЧЁТА</w:t>
      </w:r>
    </w:p>
    <w:p>
      <w:pPr>
        <w:spacing w:after="60"/>
        <w:ind w:left="340"/>
      </w:pPr>
      <w:r>
        <w:rPr>
          <w:rFonts w:ascii="Times New Roman" w:hAnsi="Times New Roman" w:eastAsia="Times New Roman"/>
          <w:sz w:val="22"/>
        </w:rPr>
        <w:t>• Площадь поршня: Sп = π × D² / 4.</w:t>
      </w:r>
    </w:p>
    <w:p>
      <w:pPr>
        <w:spacing w:after="60"/>
        <w:ind w:left="340"/>
      </w:pPr>
      <w:r>
        <w:rPr>
          <w:rFonts w:ascii="Times New Roman" w:hAnsi="Times New Roman" w:eastAsia="Times New Roman"/>
          <w:sz w:val="22"/>
        </w:rPr>
        <w:t>• Площадь штока: Sшт = π × d² / 4.</w:t>
      </w:r>
    </w:p>
    <w:p>
      <w:pPr>
        <w:spacing w:after="60"/>
        <w:ind w:left="340"/>
      </w:pPr>
      <w:r>
        <w:rPr>
          <w:rFonts w:ascii="Times New Roman" w:hAnsi="Times New Roman" w:eastAsia="Times New Roman"/>
          <w:sz w:val="22"/>
        </w:rPr>
        <w:t>• Поршневая полость: V1 = Sп × L / 1 000 000.</w:t>
      </w:r>
    </w:p>
    <w:p>
      <w:pPr>
        <w:spacing w:after="60"/>
        <w:ind w:left="340"/>
      </w:pPr>
      <w:r>
        <w:rPr>
          <w:rFonts w:ascii="Times New Roman" w:hAnsi="Times New Roman" w:eastAsia="Times New Roman"/>
          <w:sz w:val="22"/>
        </w:rPr>
        <w:t>• Штоковая полость: V2 = (Sп − Sшт) × L / 1 000 000.</w:t>
      </w:r>
    </w:p>
    <w:p>
      <w:pPr>
        <w:spacing w:after="60"/>
        <w:ind w:left="340"/>
      </w:pPr>
      <w:r>
        <w:rPr>
          <w:rFonts w:ascii="Times New Roman" w:hAnsi="Times New Roman" w:eastAsia="Times New Roman"/>
          <w:sz w:val="22"/>
        </w:rPr>
        <w:t>• Нормальный объём: Vн = V × (P + 1), где P — рабочее давление в бар избыточного давления.</w:t>
      </w:r>
    </w:p>
    <w:p>
      <w:pPr>
        <w:spacing w:after="60"/>
        <w:ind w:left="340"/>
      </w:pPr>
      <w:r>
        <w:rPr>
          <w:rFonts w:ascii="Times New Roman" w:hAnsi="Times New Roman" w:eastAsia="Times New Roman"/>
          <w:sz w:val="22"/>
        </w:rPr>
        <w:t>• Для одного полного цикла цилиндра двустороннего действия учитываются ход выдвижения и ход втягивания.</w:t>
      </w:r>
    </w:p>
    <w:p>
      <w:pPr>
        <w:spacing w:after="40"/>
      </w:pPr>
      <w:r>
        <w:rPr>
          <w:rFonts w:ascii="Times New Roman" w:hAnsi="Times New Roman" w:eastAsia="Times New Roman"/>
          <w:b/>
          <w:i w:val="0"/>
          <w:sz w:val="22"/>
        </w:rPr>
        <w:t>ПРИМЕЧАНИЕ</w:t>
      </w:r>
    </w:p>
    <w:p>
      <w:pPr>
        <w:spacing w:after="160"/>
      </w:pPr>
      <w:r>
        <w:rPr>
          <w:rFonts w:ascii="Times New Roman" w:hAnsi="Times New Roman" w:eastAsia="Times New Roman"/>
          <w:b w:val="0"/>
          <w:i/>
          <w:color w:val="555555"/>
          <w:sz w:val="20"/>
        </w:rPr>
        <w:t>Расчёт является предварительным и не учитывает утечки, объём трубопроводов, пневмоаппаратуры, демпфирование, температуру воздуха и фактические потери в системе. Для подбора компрессора, ресивера и пневмоаппаратуры рекомендуется закладывать технический запас.</w:t>
      </w:r>
    </w:p>
    <w:p>
      <w:pPr>
        <w:spacing w:after="40"/>
      </w:pPr>
      <w:r>
        <w:rPr>
          <w:rFonts w:ascii="Times New Roman" w:hAnsi="Times New Roman" w:eastAsia="Times New Roman"/>
          <w:b/>
          <w:i w:val="0"/>
          <w:sz w:val="22"/>
        </w:rPr>
        <w:t>Порядок работы с файлом</w:t>
      </w:r>
    </w:p>
    <w:p>
      <w:pPr>
        <w:spacing w:after="60"/>
        <w:ind w:left="340"/>
      </w:pPr>
      <w:r>
        <w:rPr>
          <w:rFonts w:ascii="Times New Roman" w:hAnsi="Times New Roman" w:eastAsia="Times New Roman"/>
          <w:sz w:val="20"/>
        </w:rPr>
        <w:t>• Откройте файл в Microsoft Word и разрешите выполнение макросов, если документ используется для автоматического расчёта.</w:t>
      </w:r>
    </w:p>
    <w:p>
      <w:pPr>
        <w:spacing w:after="60"/>
        <w:ind w:left="340"/>
      </w:pPr>
      <w:r>
        <w:rPr>
          <w:rFonts w:ascii="Times New Roman" w:hAnsi="Times New Roman" w:eastAsia="Times New Roman"/>
          <w:sz w:val="20"/>
        </w:rPr>
        <w:t>• Заполните обязательные поля, отмеченные оранжевой звёздочкой.</w:t>
      </w:r>
    </w:p>
    <w:p>
      <w:pPr>
        <w:spacing w:after="60"/>
        <w:ind w:left="340"/>
      </w:pPr>
      <w:r>
        <w:rPr>
          <w:rFonts w:ascii="Times New Roman" w:hAnsi="Times New Roman" w:eastAsia="Times New Roman"/>
          <w:sz w:val="20"/>
        </w:rPr>
        <w:t>• Нажмите «Рассчитать» или выйдите из последнего заполненного поля — значения в блоке результатов обновятся.</w:t>
      </w:r>
    </w:p>
    <w:p>
      <w:pPr>
        <w:spacing w:after="60"/>
        <w:ind w:left="340"/>
      </w:pPr>
      <w:r>
        <w:rPr>
          <w:rFonts w:ascii="Times New Roman" w:hAnsi="Times New Roman" w:eastAsia="Times New Roman"/>
          <w:sz w:val="20"/>
        </w:rPr>
        <w:t>• Для удаления введённых данных и результатов нажмите «Очистить лист».</w:t>
      </w:r>
    </w:p>
    <w:sectPr w:rsidR="00FC693F" w:rsidRPr="0006063C" w:rsidSect="00034616">
      <w:pgSz w:w="11906" w:h="16838"/>
      <w:pgMar w:top="1020" w:right="964" w:bottom="794" w:left="9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microsoft.com/office/2006/relationships/vbaProject" Target="vbaProject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