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vbaProject.bin" ContentType="application/vnd.ms-office.vbaProject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1965960" cy="48755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65960" cy="48755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0"/>
        </w:rPr>
        <w:t>ООО «Синергия-Ресурс»: все для промышленной пневмоавтоматики</w:t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0"/>
        </w:rPr>
        <w:t>195213, г. Санкт-Петербург, ул. Латышских стрелков, д 25</w:t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0"/>
        </w:rPr>
        <w:t>ОГРН 1137847172033      ИНН 7839478785      КПП 781101001</w:t>
      </w:r>
    </w:p>
    <w:p>
      <w:pPr>
        <w:spacing w:after="160"/>
        <w:jc w:val="center"/>
      </w:pPr>
      <w:r>
        <w:rPr>
          <w:rFonts w:ascii="Times New Roman" w:hAnsi="Times New Roman" w:eastAsia="Times New Roman"/>
          <w:b w:val="0"/>
          <w:i w:val="0"/>
          <w:color w:val="0066CC"/>
          <w:sz w:val="20"/>
        </w:rPr>
        <w:t>site@srs-automatic.ru    тел. 8-800-600-72-68,  +7 812 983-22-68</w:t>
      </w:r>
    </w:p>
    <w:p>
      <w:pPr>
        <w:spacing w:after="200"/>
        <w:jc w:val="center"/>
      </w:pPr>
      <w:r>
        <w:rPr>
          <w:rFonts w:ascii="Times New Roman" w:hAnsi="Times New Roman" w:eastAsia="Times New Roman"/>
          <w:b w:val="0"/>
          <w:i w:val="0"/>
          <w:sz w:val="33"/>
        </w:rPr>
        <w:t>Калькулятор расчёта пневмоцилиндра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4"/>
        <w:gridCol w:w="2494"/>
        <w:gridCol w:w="2494"/>
        <w:gridCol w:w="2494"/>
      </w:tblGrid>
      <w:tr>
        <w:tc>
          <w:tcPr>
            <w:tcW w:type="dxa" w:w="2736"/>
            <w:tcMar>
              <w:top w:w="50" w:type="dxa"/>
              <w:start w:w="80" w:type="dxa"/>
              <w:bottom w:w="50" w:type="dxa"/>
              <w:end w:w="8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Заказчик:</w:t>
            </w:r>
          </w:p>
        </w:tc>
        <w:tc>
          <w:tcPr>
            <w:tcW w:type="dxa" w:w="2736"/>
            <w:tcMar>
              <w:top w:w="50" w:type="dxa"/>
              <w:start w:w="80" w:type="dxa"/>
              <w:bottom w:w="50" w:type="dxa"/>
              <w:end w:w="80" w:type="dxa"/>
            </w:tcMar>
          </w:tcPr>
          <w:p>
            <w:pPr>
              <w:spacing w:before="0" w:after="0" w:line="240" w:lineRule="auto"/>
            </w:pPr>
            <w:sdt>
              <w:sdtPr>
                <w:alias w:val="srCustomer"/>
                <w:tag w:val="srCustomer"/>
                <w:id w:val="10001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type="dxa" w:w="2736"/>
            <w:tcMar>
              <w:top w:w="50" w:type="dxa"/>
              <w:start w:w="80" w:type="dxa"/>
              <w:bottom w:w="50" w:type="dxa"/>
              <w:end w:w="8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Дата:</w:t>
            </w:r>
          </w:p>
        </w:tc>
        <w:tc>
          <w:tcPr>
            <w:tcW w:type="dxa" w:w="2736"/>
            <w:tcMar>
              <w:top w:w="50" w:type="dxa"/>
              <w:start w:w="80" w:type="dxa"/>
              <w:bottom w:w="50" w:type="dxa"/>
              <w:end w:w="80" w:type="dxa"/>
            </w:tcMar>
          </w:tcPr>
          <w:p>
            <w:pPr>
              <w:spacing w:before="0" w:after="0" w:line="240" w:lineRule="auto"/>
            </w:pPr>
            <w:sdt>
              <w:sdtPr>
                <w:alias w:val="srDate"/>
                <w:tag w:val="srDate"/>
                <w:id w:val="10002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 </w:t>
                </w:r>
              </w:sdtContent>
            </w:sdt>
          </w:p>
        </w:tc>
      </w:tr>
      <w:tr>
        <w:tc>
          <w:tcPr>
            <w:tcW w:type="dxa" w:w="2736"/>
            <w:tcMar>
              <w:top w:w="50" w:type="dxa"/>
              <w:start w:w="80" w:type="dxa"/>
              <w:bottom w:w="50" w:type="dxa"/>
              <w:end w:w="8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Представитель:</w:t>
            </w:r>
          </w:p>
        </w:tc>
        <w:tc>
          <w:tcPr>
            <w:tcW w:type="dxa" w:w="2736"/>
            <w:tcMar>
              <w:top w:w="50" w:type="dxa"/>
              <w:start w:w="80" w:type="dxa"/>
              <w:bottom w:w="50" w:type="dxa"/>
              <w:end w:w="80" w:type="dxa"/>
            </w:tcMar>
          </w:tcPr>
          <w:p>
            <w:pPr>
              <w:spacing w:before="0" w:after="0" w:line="240" w:lineRule="auto"/>
            </w:pPr>
            <w:sdt>
              <w:sdtPr>
                <w:alias w:val="srManager"/>
                <w:tag w:val="srManager"/>
                <w:id w:val="10003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type="dxa" w:w="2736"/>
            <w:tcMar>
              <w:top w:w="50" w:type="dxa"/>
              <w:start w:w="80" w:type="dxa"/>
              <w:bottom w:w="50" w:type="dxa"/>
              <w:end w:w="8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Техзапрос №:</w:t>
            </w:r>
          </w:p>
        </w:tc>
        <w:tc>
          <w:tcPr>
            <w:tcW w:type="dxa" w:w="2736"/>
            <w:tcMar>
              <w:top w:w="50" w:type="dxa"/>
              <w:start w:w="80" w:type="dxa"/>
              <w:bottom w:w="50" w:type="dxa"/>
              <w:end w:w="80" w:type="dxa"/>
            </w:tcMar>
          </w:tcPr>
          <w:p>
            <w:pPr>
              <w:spacing w:before="0" w:after="0" w:line="240" w:lineRule="auto"/>
            </w:pPr>
            <w:sdt>
              <w:sdtPr>
                <w:alias w:val="srRequest"/>
                <w:tag w:val="srRequest"/>
                <w:id w:val="10004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 </w:t>
                </w:r>
              </w:sdtContent>
            </w:sdt>
          </w:p>
        </w:tc>
      </w:tr>
    </w:tbl>
    <w:p>
      <w:pPr>
        <w:spacing w:after="10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78"/>
      </w:tblGrid>
      <w:tr>
        <w:tc>
          <w:tcPr>
            <w:tcW w:type="dxa" w:w="9978"/>
            <w:shd w:fill="D9D9D9"/>
            <w:tcMar>
              <w:top w:w="30" w:type="dxa"/>
              <w:start w:w="90" w:type="dxa"/>
              <w:bottom w:w="30" w:type="dxa"/>
              <w:end w:w="90" w:type="dxa"/>
            </w:tcMar>
          </w:tcPr>
          <w:p>
            <w:pPr>
              <w:keepNext/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/>
                <w:i w:val="0"/>
                <w:sz w:val="21"/>
              </w:rPr>
              <w:t>ПАРАМЕТРЫ ПНЕВМОЦИЛИНДРА</w:t>
            </w:r>
          </w:p>
        </w:tc>
      </w:tr>
    </w:tbl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89"/>
        <w:gridCol w:w="4989"/>
      </w:tblGrid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Диаметр цилиндра D, мм</w:t>
            </w:r>
            <w:r>
              <w:rPr>
                <w:rFonts w:ascii="Times New Roman" w:hAnsi="Times New Roman" w:eastAsia="Times New Roman"/>
                <w:b/>
                <w:i w:val="0"/>
                <w:color w:val="E65014"/>
                <w:sz w:val="20"/>
              </w:rPr>
              <w:t xml:space="preserve"> *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Стандартные ISO 15552 / ГОСТ 15608-81: 32, 40, 50, 63, 80, 100, 125, 160, 200, 250, 320 мм.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D"/>
                <w:tag w:val="srD"/>
                <w:id w:val="10005"/>
                <w:text/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 </w:t>
                </w:r>
              </w:sdtContent>
            </w:sdt>
          </w:p>
        </w:tc>
      </w:tr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Диаметр штока d, мм</w:t>
            </w:r>
            <w:r>
              <w:rPr>
                <w:rFonts w:ascii="Times New Roman" w:hAnsi="Times New Roman" w:eastAsia="Times New Roman"/>
                <w:b/>
                <w:i w:val="0"/>
                <w:color w:val="E65014"/>
                <w:sz w:val="20"/>
              </w:rPr>
              <w:t xml:space="preserve"> *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Стандартные: 12, 16, 20, 25, 32, 40 мм; типичное d/D = 0,2–0,5.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RodDiameter"/>
                <w:tag w:val="srRodDiameter"/>
                <w:id w:val="10006"/>
                <w:text/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 </w:t>
                </w:r>
              </w:sdtContent>
            </w:sdt>
          </w:p>
        </w:tc>
      </w:tr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Ход поршня L, мм</w:t>
            </w:r>
            <w:r>
              <w:rPr>
                <w:rFonts w:ascii="Times New Roman" w:hAnsi="Times New Roman" w:eastAsia="Times New Roman"/>
                <w:b/>
                <w:i w:val="0"/>
                <w:color w:val="E65014"/>
                <w:sz w:val="20"/>
              </w:rPr>
              <w:t xml:space="preserve"> *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Максимальное перемещение поршня.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Stroke"/>
                <w:tag w:val="srStroke"/>
                <w:id w:val="10007"/>
                <w:text/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 </w:t>
                </w:r>
              </w:sdtContent>
            </w:sdt>
          </w:p>
        </w:tc>
      </w:tr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Давление P, бар (маном.)</w:t>
            </w:r>
            <w:r>
              <w:rPr>
                <w:rFonts w:ascii="Times New Roman" w:hAnsi="Times New Roman" w:eastAsia="Times New Roman"/>
                <w:b/>
                <w:i w:val="0"/>
                <w:color w:val="E65014"/>
                <w:sz w:val="20"/>
              </w:rPr>
              <w:t xml:space="preserve"> *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Типовое значение — 6 бар; 1 бар = 0,1 МПа = 100 кПа.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Pressure"/>
                <w:tag w:val="srPressure"/>
                <w:id w:val="10008"/>
                <w:text/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6</w:t>
                </w:r>
              </w:sdtContent>
            </w:sdt>
          </w:p>
        </w:tc>
      </w:tr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Тип конструкции</w:t>
            </w:r>
            <w:r>
              <w:rPr>
                <w:rFonts w:ascii="Times New Roman" w:hAnsi="Times New Roman" w:eastAsia="Times New Roman"/>
                <w:b/>
                <w:i w:val="0"/>
                <w:color w:val="E65014"/>
                <w:sz w:val="20"/>
              </w:rPr>
              <w:t xml:space="preserve"> *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Двустороннего действия или одностороннего действия с пружиной.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ActionType"/>
                <w:tag w:val="srActionType"/>
                <w:id w:val="10009"/>
                <w:dropDownList>
                  <w:listItem w:displayText="Двустороннего действия" w:value="Двустороннего действия"/>
                  <w:listItem w:displayText="Одностороннего (с пружиной)" w:value="Одностороннего (с пружиной)"/>
                </w:dropDownList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Двустороннего действия</w:t>
                </w:r>
              </w:sdtContent>
            </w:sdt>
          </w:p>
        </w:tc>
      </w:tr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Скорость штока v, м/с</w:t>
            </w:r>
            <w:r>
              <w:rPr>
                <w:rFonts w:ascii="Times New Roman" w:hAnsi="Times New Roman" w:eastAsia="Times New Roman"/>
                <w:b/>
                <w:i w:val="0"/>
                <w:color w:val="E65014"/>
                <w:sz w:val="20"/>
              </w:rPr>
              <w:t xml:space="preserve"> *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Низкая: 0,05–0,1; средняя: 0,1–0,5; высокая: 0,5–1,5 м/с.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Speed"/>
                <w:tag w:val="srSpeed"/>
                <w:id w:val="10010"/>
                <w:text/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 </w:t>
                </w:r>
              </w:sdtContent>
            </w:sdt>
          </w:p>
        </w:tc>
      </w:tr>
    </w:tbl>
    <w:p>
      <w:pPr>
        <w:spacing w:after="8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78"/>
      </w:tblGrid>
      <w:tr>
        <w:tc>
          <w:tcPr>
            <w:tcW w:type="dxa" w:w="9978"/>
            <w:shd w:fill="D9D9D9"/>
            <w:tcMar>
              <w:top w:w="30" w:type="dxa"/>
              <w:start w:w="90" w:type="dxa"/>
              <w:bottom w:w="30" w:type="dxa"/>
              <w:end w:w="90" w:type="dxa"/>
            </w:tcMar>
          </w:tcPr>
          <w:p>
            <w:pPr>
              <w:keepNext/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/>
                <w:i w:val="0"/>
                <w:sz w:val="21"/>
              </w:rPr>
              <w:t>РАБОЧИЕ ПАРАМЕТРЫ</w:t>
            </w:r>
          </w:p>
        </w:tc>
      </w:tr>
    </w:tbl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89"/>
        <w:gridCol w:w="4989"/>
      </w:tblGrid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Коэффициент нагрузки η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Транспортировка: 0,4–0,5; зажим: 0,6–0,7; статика: 0,7–1,0.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Eta"/>
                <w:tag w:val="srEta"/>
                <w:id w:val="10011"/>
                <w:text/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0,5</w:t>
                </w:r>
              </w:sdtContent>
            </w:sdt>
          </w:p>
        </w:tc>
      </w:tr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Масса груза m, кг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Для энергии удара. Для точной оценки учитывайте также массу подвижных частей цилиндра.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Mass"/>
                <w:tag w:val="srMass"/>
                <w:id w:val="10012"/>
                <w:text/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 </w:t>
                </w:r>
              </w:sdtContent>
            </w:sdt>
          </w:p>
        </w:tc>
      </w:tr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Коэффициент утечек Kп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Новая система: 1,1–1,2; изношенная: 1,3–1,5.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Leak"/>
                <w:tag w:val="srLeak"/>
                <w:id w:val="10013"/>
                <w:text/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1,2</w:t>
                </w:r>
              </w:sdtContent>
            </w:sdt>
          </w:p>
        </w:tc>
      </w:tr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Циклов в минуту N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Полный цикл = выдвижение + втягивание.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Cycles"/>
                <w:tag w:val="srCycles"/>
                <w:id w:val="10014"/>
                <w:text/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10</w:t>
                </w:r>
              </w:sdtContent>
            </w:sdt>
          </w:p>
        </w:tc>
      </w:tr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Усилие пружины Fп, Н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Используется для одностороннего цилиндра; для двустороннего можно оставить 0.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Spring"/>
                <w:tag w:val="srSpring"/>
                <w:id w:val="10015"/>
                <w:text/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0</w:t>
                </w:r>
              </w:sdtContent>
            </w:sdt>
          </w:p>
        </w:tc>
      </w:tr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Pатм, бар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Атмосферное давление; стандартное значение 1,013 бар.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Patm"/>
                <w:tag w:val="srPatm"/>
                <w:id w:val="10016"/>
                <w:text/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1,013</w:t>
                </w:r>
              </w:sdtContent>
            </w:sdt>
          </w:p>
        </w:tc>
      </w:tr>
    </w:tbl>
    <w:p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78"/>
      </w:tblGrid>
      <w:tr>
        <w:tc>
          <w:tcPr>
            <w:tcW w:type="dxa" w:w="9978"/>
            <w:shd w:fill="D9D9D9"/>
            <w:tcMar>
              <w:top w:w="30" w:type="dxa"/>
              <w:start w:w="90" w:type="dxa"/>
              <w:bottom w:w="30" w:type="dxa"/>
              <w:end w:w="90" w:type="dxa"/>
            </w:tcMar>
          </w:tcPr>
          <w:p>
            <w:pPr>
              <w:keepNext/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/>
                <w:i w:val="0"/>
                <w:sz w:val="21"/>
              </w:rPr>
              <w:t>УСТОЙЧИВОСТЬ ШТОКА</w:t>
            </w:r>
          </w:p>
        </w:tc>
      </w:tr>
    </w:tbl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89"/>
        <w:gridCol w:w="4989"/>
      </w:tblGrid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Материал штока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Модуль упругости используется в проверке по формуле Эйлера.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Material"/>
                <w:tag w:val="srMaterial"/>
                <w:id w:val="10017"/>
                <w:dropDownList>
                  <w:listItem w:displayText="Сталь 45" w:value="Сталь 45"/>
                  <w:listItem w:displayText="Нерж. AISI 304" w:value="Нерж. AISI 304"/>
                </w:dropDownList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Сталь 45</w:t>
                </w:r>
              </w:sdtContent>
            </w:sdt>
          </w:p>
        </w:tc>
      </w:tr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Схема закрепления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Коэффициент μ: 1,0 / 0,7 / 0,5 / 2,0.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Fixing"/>
                <w:tag w:val="srFixing"/>
                <w:id w:val="10018"/>
                <w:dropDownList>
                  <w:listItem w:displayText="Шарнир-Шарнир (1,0)" w:value="Шарнир-Шарнир (1,0)"/>
                  <w:listItem w:displayText="Заделка-Шарнир (0,7)" w:value="Заделка-Шарнир (0,7)"/>
                  <w:listItem w:displayText="Заделка-Заделка (0,5)" w:value="Заделка-Заделка (0,5)"/>
                  <w:listItem w:displayText="Заделка-Свободный (2,0)" w:value="Заделка-Свободный (2,0)"/>
                </w:dropDownList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Шарнир-Шарнир (1,0)</w:t>
                </w:r>
              </w:sdtContent>
            </w:sdt>
          </w:p>
        </w:tc>
      </w:tr>
      <w:tr>
        <w:trPr>
          <w:cantSplit/>
        </w:trPr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</w:tcPr>
          <w:p>
            <w:pPr>
              <w:spacing w:after="0" w:before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20"/>
              </w:rPr>
              <w:t>Полная длина, мм (0 = авто)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/>
                <w:color w:val="464646"/>
                <w:sz w:val="17"/>
              </w:rPr>
              <w:t>При 0 в файле используется оценка 1,3 × ход L; алгоритм автодлины на исходной странице не раскрыт.</w:t>
            </w:r>
          </w:p>
        </w:tc>
        <w:tc>
          <w:tcPr>
            <w:tcW w:type="dxa" w:w="5400"/>
            <w:vAlign w:val="center"/>
            <w:tcMar>
              <w:top w:w="50" w:type="dxa"/>
              <w:start w:w="90" w:type="dxa"/>
              <w:bottom w:w="50" w:type="dxa"/>
              <w:end w:w="90" w:type="dxa"/>
            </w:tcMar>
            <w:shd w:fill="FDF8F2"/>
          </w:tcPr>
          <w:p>
            <w:pPr>
              <w:spacing w:after="0" w:before="0" w:line="240" w:lineRule="auto"/>
            </w:pPr>
            <w:sdt>
              <w:sdtPr>
                <w:alias w:val="srFullLength"/>
                <w:tag w:val="srFullLength"/>
                <w:id w:val="10019"/>
                <w:text/>
              </w:sdtPr>
              <w:sdtContent>
                <w:r>
                  <w:rPr>
                    <w:rFonts w:ascii="Times New Roman" w:hAnsi="Times New Roman" w:eastAsia="Times New Roman"/>
                    <w:sz w:val="20"/>
                    <w:color w:val="000000"/>
                  </w:rPr>
                  <w:t xml:space="preserve">0</w:t>
                </w:r>
              </w:sdtContent>
            </w:sdt>
          </w:p>
        </w:tc>
      </w:tr>
    </w:tbl>
    <w:p>
      <w:pPr>
        <w:spacing w:after="100" w:before="0"/>
      </w:pPr>
      <w:r/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89"/>
        <w:gridCol w:w="4989"/>
      </w:tblGrid>
      <w:tr>
        <w:tc>
          <w:tcPr>
            <w:tcW w:type="dxa" w:w="5400"/>
            <w:tcMar>
              <w:top w:w="30" w:type="dxa"/>
              <w:start w:w="40" w:type="dxa"/>
              <w:bottom w:w="30" w:type="dxa"/>
              <w:end w:w="40" w:type="dxa"/>
            </w:tcMar>
            <w:shd w:fill="167DB7"/>
          </w:tcPr>
          <w:p>
            <w:pPr>
              <w:spacing w:before="0" w:after="0" w:line="240" w:lineRule="auto"/>
              <w:jc w:val="center"/>
            </w:pPr>
            <w:r>
              <w:fldChar w:fldCharType="begin"/>
            </w:r>
            <w:r>
              <w:instrText xml:space="preserve"> MACROBUTTON Raschet Рассчитать </w:instrText>
            </w:r>
            <w:r>
              <w:fldChar w:fldCharType="separate"/>
            </w:r>
            <w:r>
              <w:rPr>
                <w:rFonts w:ascii="Times New Roman" w:hAnsi="Times New Roman" w:eastAsia="Times New Roman"/>
                <w:b w:val="0"/>
                <w:i w:val="0"/>
                <w:color w:val="FFFFFF"/>
                <w:sz w:val="21"/>
              </w:rPr>
              <w:t>Рассчитать</w:t>
            </w:r>
            <w:r>
              <w:fldChar w:fldCharType="end"/>
            </w:r>
          </w:p>
        </w:tc>
        <w:tc>
          <w:tcPr>
            <w:tcW w:type="dxa" w:w="5400"/>
            <w:tcMar>
              <w:top w:w="30" w:type="dxa"/>
              <w:start w:w="40" w:type="dxa"/>
              <w:bottom w:w="30" w:type="dxa"/>
              <w:end w:w="40" w:type="dxa"/>
            </w:tcMar>
            <w:shd w:fill="FFFFFF"/>
          </w:tcPr>
          <w:p>
            <w:pPr>
              <w:spacing w:before="0" w:after="0" w:line="240" w:lineRule="auto"/>
              <w:jc w:val="center"/>
            </w:pPr>
            <w:r>
              <w:fldChar w:fldCharType="begin"/>
            </w:r>
            <w:r>
              <w:instrText xml:space="preserve"> MACROBUTTON OchistitList Очистить лист </w:instrText>
            </w:r>
            <w:r>
              <w:fldChar w:fldCharType="separate"/>
            </w:r>
            <w:r>
              <w:rPr>
                <w:rFonts w:ascii="Times New Roman" w:hAnsi="Times New Roman" w:eastAsia="Times New Roman"/>
                <w:b w:val="0"/>
                <w:i w:val="0"/>
                <w:color w:val="0B78BC"/>
                <w:sz w:val="21"/>
              </w:rPr>
              <w:t>Очистить лист</w:t>
            </w:r>
            <w:r>
              <w:fldChar w:fldCharType="end"/>
            </w:r>
          </w:p>
        </w:tc>
      </w:tr>
    </w:tbl>
    <w:p>
      <w:pPr>
        <w:spacing w:before="40" w:after="80"/>
      </w:pPr>
      <w:r>
        <w:rPr>
          <w:rFonts w:ascii="Times New Roman" w:hAnsi="Times New Roman" w:eastAsia="Times New Roman"/>
          <w:b w:val="0"/>
          <w:i/>
          <w:color w:val="555555"/>
          <w:sz w:val="17"/>
        </w:rPr>
        <w:t>Кнопки работают при включённых макросах в Microsoft Word. После заполнения обязательных полей результат также пересчитывается при выходе из изменённого поля.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89"/>
        <w:gridCol w:w="4989"/>
      </w:tblGrid>
      <w:tr>
        <w:tc>
          <w:tcPr>
            <w:tcW w:type="dxa" w:w="2880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Результат проверки:</w:t>
            </w:r>
          </w:p>
        </w:tc>
        <w:tc>
          <w:tcPr>
            <w:tcW w:type="dxa" w:w="7920"/>
          </w:tcPr>
          <w:p>
            <w:pPr>
              <w:spacing w:before="0" w:after="0" w:line="240" w:lineRule="auto"/>
            </w:pPr>
            <w:sdt>
              <w:sdtPr>
                <w:alias w:val="srMessage"/>
                <w:tag w:val="srMessage"/>
                <w:id w:val="10020"/>
                <w:text w:multiLine="1"/>
              </w:sdtPr>
              <w:sdtContent>
                <w:r>
                  <w:rPr>
                    <w:rFonts w:ascii="Times New Roman" w:hAnsi="Times New Roman" w:eastAsia="Times New Roman"/>
                    <w:sz w:val="18"/>
                    <w:color w:val="000000"/>
                  </w:rPr>
                  <w:t xml:space="preserve">—</w:t>
                </w:r>
              </w:sdtContent>
            </w:sdt>
          </w:p>
        </w:tc>
      </w:tr>
    </w:tbl>
    <w:p>
      <w:pPr>
        <w:spacing w:after="10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78"/>
      </w:tblGrid>
      <w:tr>
        <w:tc>
          <w:tcPr>
            <w:tcW w:type="dxa" w:w="9978"/>
            <w:shd w:fill="D9D9D9"/>
            <w:tcMar>
              <w:top w:w="30" w:type="dxa"/>
              <w:start w:w="90" w:type="dxa"/>
              <w:bottom w:w="30" w:type="dxa"/>
              <w:end w:w="90" w:type="dxa"/>
            </w:tcMar>
          </w:tcPr>
          <w:p>
            <w:pPr>
              <w:keepNext/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/>
                <w:i w:val="0"/>
                <w:sz w:val="21"/>
              </w:rPr>
              <w:t>СИЛОВЫЕ ХАРАКТЕРИСТИКИ</w:t>
            </w:r>
          </w:p>
        </w:tc>
      </w:tr>
    </w:tbl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26"/>
        <w:gridCol w:w="3326"/>
        <w:gridCol w:w="3326"/>
      </w:tblGrid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Теор. сила выдвижения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TheoOut"/>
                <w:tag w:val="srTheoOut"/>
                <w:id w:val="10021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Н</w:t>
            </w:r>
          </w:p>
        </w:tc>
      </w:tr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Факт. сила (η)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FactOut"/>
                <w:tag w:val="srFactOut"/>
                <w:id w:val="10022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Н</w:t>
            </w:r>
          </w:p>
        </w:tc>
      </w:tr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Факт. сила втягивания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FactIn"/>
                <w:tag w:val="srFactIn"/>
                <w:id w:val="10023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Н</w:t>
            </w:r>
          </w:p>
        </w:tc>
      </w:tr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Подъёмная масса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LiftMass"/>
                <w:tag w:val="srLiftMass"/>
                <w:id w:val="10024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кг</w:t>
            </w:r>
          </w:p>
        </w:tc>
      </w:tr>
    </w:tbl>
    <w:p>
      <w:pPr>
        <w:spacing w:after="8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78"/>
      </w:tblGrid>
      <w:tr>
        <w:tc>
          <w:tcPr>
            <w:tcW w:type="dxa" w:w="9978"/>
            <w:shd w:fill="D9D9D9"/>
            <w:tcMar>
              <w:top w:w="30" w:type="dxa"/>
              <w:start w:w="90" w:type="dxa"/>
              <w:bottom w:w="30" w:type="dxa"/>
              <w:end w:w="90" w:type="dxa"/>
            </w:tcMar>
          </w:tcPr>
          <w:p>
            <w:pPr>
              <w:keepNext/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/>
                <w:i w:val="0"/>
                <w:sz w:val="21"/>
              </w:rPr>
              <w:t>ВОЗДУХОПОТРЕБЛЕНИЕ</w:t>
            </w:r>
          </w:p>
        </w:tc>
      </w:tr>
    </w:tbl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26"/>
        <w:gridCol w:w="3326"/>
        <w:gridCol w:w="3326"/>
      </w:tblGrid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Объём поршневой полости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VolPiston"/>
                <w:tag w:val="srVolPiston"/>
                <w:id w:val="10025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л</w:t>
            </w:r>
          </w:p>
        </w:tc>
      </w:tr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Расход на цикл (норм.)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QCycle"/>
                <w:tag w:val="srQCycle"/>
                <w:id w:val="10026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нл/цикл</w:t>
            </w:r>
          </w:p>
        </w:tc>
      </w:tr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Расход выдвижения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QOut"/>
                <w:tag w:val="srQOut"/>
                <w:id w:val="10027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нл/мин</w:t>
            </w:r>
          </w:p>
        </w:tc>
      </w:tr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С утечками (Kп)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QLeak"/>
                <w:tag w:val="srQLeak"/>
                <w:id w:val="10028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нл/цикл</w:t>
            </w:r>
          </w:p>
        </w:tc>
      </w:tr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Суммарный (N циклов)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QTotal"/>
                <w:tag w:val="srQTotal"/>
                <w:id w:val="10029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нл/мин</w:t>
            </w:r>
          </w:p>
        </w:tc>
      </w:tr>
    </w:tbl>
    <w:p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78"/>
      </w:tblGrid>
      <w:tr>
        <w:tc>
          <w:tcPr>
            <w:tcW w:type="dxa" w:w="9978"/>
            <w:shd w:fill="D9D9D9"/>
            <w:tcMar>
              <w:top w:w="30" w:type="dxa"/>
              <w:start w:w="90" w:type="dxa"/>
              <w:bottom w:w="30" w:type="dxa"/>
              <w:end w:w="90" w:type="dxa"/>
            </w:tcMar>
          </w:tcPr>
          <w:p>
            <w:pPr>
              <w:keepNext/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/>
                <w:i w:val="0"/>
                <w:sz w:val="21"/>
              </w:rPr>
              <w:t>СКОРОСТИ И ВРЕМЯ</w:t>
            </w:r>
          </w:p>
        </w:tc>
      </w:tr>
    </w:tbl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26"/>
        <w:gridCol w:w="3326"/>
        <w:gridCol w:w="3326"/>
      </w:tblGrid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Скорость выдвижения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VOut"/>
                <w:tag w:val="srVOut"/>
                <w:id w:val="10030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м/с</w:t>
            </w:r>
          </w:p>
        </w:tc>
      </w:tr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Скорость втягивания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VIn"/>
                <w:tag w:val="srVIn"/>
                <w:id w:val="10031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м/с</w:t>
            </w:r>
          </w:p>
        </w:tc>
      </w:tr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Время выдвижения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TOut"/>
                <w:tag w:val="srTOut"/>
                <w:id w:val="10032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с</w:t>
            </w:r>
          </w:p>
        </w:tc>
      </w:tr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Время втягивания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TIn"/>
                <w:tag w:val="srTIn"/>
                <w:id w:val="10033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с</w:t>
            </w:r>
          </w:p>
        </w:tc>
      </w:tr>
    </w:tbl>
    <w:p>
      <w:pPr>
        <w:spacing w:after="8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78"/>
      </w:tblGrid>
      <w:tr>
        <w:tc>
          <w:tcPr>
            <w:tcW w:type="dxa" w:w="9978"/>
            <w:shd w:fill="D9D9D9"/>
            <w:tcMar>
              <w:top w:w="30" w:type="dxa"/>
              <w:start w:w="90" w:type="dxa"/>
              <w:bottom w:w="30" w:type="dxa"/>
              <w:end w:w="90" w:type="dxa"/>
            </w:tcMar>
          </w:tcPr>
          <w:p>
            <w:pPr>
              <w:keepNext/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/>
                <w:i w:val="0"/>
                <w:sz w:val="21"/>
              </w:rPr>
              <w:t>ДЕМПФИРОВАНИЕ И УСТОЙЧИВОСТЬ</w:t>
            </w:r>
          </w:p>
        </w:tc>
      </w:tr>
    </w:tbl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26"/>
        <w:gridCol w:w="3326"/>
        <w:gridCol w:w="3326"/>
      </w:tblGrid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Энергия удара E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Energy"/>
                <w:tag w:val="srEnergy"/>
                <w:id w:val="10034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Дж</w:t>
            </w:r>
          </w:p>
        </w:tc>
      </w:tr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Демпфирование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Cushion"/>
                <w:tag w:val="srCushion"/>
                <w:id w:val="10035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</w:r>
          </w:p>
        </w:tc>
      </w:tr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Крит. сила Эйлера Fкр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Euler"/>
                <w:tag w:val="srEuler"/>
                <w:id w:val="10036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  <w:t>Н</w:t>
            </w:r>
          </w:p>
        </w:tc>
      </w:tr>
      <w:tr>
        <w:trPr>
          <w:cantSplit/>
        </w:trPr>
        <w:tc>
          <w:tcPr>
            <w:tcW w:type="dxa" w:w="4896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/>
                <w:i w:val="0"/>
                <w:sz w:val="19"/>
              </w:rPr>
              <w:t>Запас устойчивости nу</w:t>
            </w:r>
          </w:p>
        </w:tc>
        <w:tc>
          <w:tcPr>
            <w:tcW w:type="dxa" w:w="3888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  <w:shd w:fill="F7F7F7"/>
          </w:tcPr>
          <w:p>
            <w:pPr>
              <w:spacing w:before="0" w:after="0" w:line="240" w:lineRule="auto"/>
            </w:pPr>
            <w:sdt>
              <w:sdtPr>
                <w:alias w:val="srStability"/>
                <w:tag w:val="srStability"/>
                <w:id w:val="10037"/>
                <w:text/>
              </w:sdtPr>
              <w:sdtContent>
                <w:r>
                  <w:rPr>
                    <w:rFonts w:ascii="Times New Roman" w:hAnsi="Times New Roman" w:eastAsia="Times New Roman"/>
                    <w:sz w:val="19"/>
                    <w:color w:val="000000"/>
                  </w:rPr>
                  <w:t xml:space="preserve">—</w:t>
                </w:r>
              </w:sdtContent>
            </w:sdt>
          </w:p>
        </w:tc>
        <w:tc>
          <w:tcPr>
            <w:tcW w:type="dxa" w:w="2015"/>
            <w:vAlign w:val="center"/>
            <w:tcMar>
              <w:top w:w="45" w:type="dxa"/>
              <w:start w:w="90" w:type="dxa"/>
              <w:bottom w:w="4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eastAsia="Times New Roman"/>
                <w:b w:val="0"/>
                <w:i w:val="0"/>
                <w:sz w:val="19"/>
              </w:rPr>
            </w:r>
          </w:p>
        </w:tc>
      </w:tr>
    </w:tbl>
    <w:p>
      <w:pPr>
        <w:spacing w:after="100" w:before="0"/>
      </w:pPr>
      <w:r/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9978"/>
      </w:tblGrid>
      <w:tr>
        <w:tc>
          <w:tcPr>
            <w:tcW w:type="dxa" w:w="9978"/>
            <w:shd w:fill="167DB7"/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>
              <w:fldChar w:fldCharType="begin"/>
            </w:r>
            <w:r>
              <w:instrText xml:space="preserve"> MACROBUTTON PokazatHod Показать ход расчёта </w:instrText>
            </w:r>
            <w:r>
              <w:fldChar w:fldCharType="separate"/>
            </w:r>
            <w:r>
              <w:rPr>
                <w:rFonts w:ascii="Times New Roman" w:hAnsi="Times New Roman" w:eastAsia="Times New Roman"/>
                <w:b w:val="0"/>
                <w:i w:val="0"/>
                <w:color w:val="FFFFFF"/>
                <w:sz w:val="21"/>
              </w:rPr>
              <w:t>Показать ход расчёта</w:t>
            </w:r>
            <w:r>
              <w:fldChar w:fldCharType="end"/>
            </w:r>
          </w:p>
        </w:tc>
      </w:tr>
    </w:tbl>
    <w:p>
      <w:pPr>
        <w:spacing w:after="60" w:before="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78"/>
      </w:tblGrid>
      <w:tr>
        <w:tc>
          <w:tcPr>
            <w:tcW w:type="dxa" w:w="9978"/>
            <w:shd w:fill="D9D9D9"/>
            <w:tcMar>
              <w:top w:w="30" w:type="dxa"/>
              <w:start w:w="90" w:type="dxa"/>
              <w:bottom w:w="30" w:type="dxa"/>
              <w:end w:w="90" w:type="dxa"/>
            </w:tcMar>
          </w:tcPr>
          <w:p>
            <w:pPr>
              <w:keepNext/>
              <w:spacing w:before="0" w:after="0" w:line="240" w:lineRule="auto"/>
              <w:jc w:val="center"/>
            </w:pPr>
            <w:r>
              <w:rPr>
                <w:rFonts w:ascii="Times New Roman" w:hAnsi="Times New Roman" w:eastAsia="Times New Roman"/>
                <w:b/>
                <w:i w:val="0"/>
                <w:sz w:val="21"/>
              </w:rPr>
              <w:t>ХОД РАСЧЁТА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9978"/>
      </w:tblGrid>
      <w:tr>
        <w:tc>
          <w:tcPr>
            <w:tcW w:type="dxa" w:w="9978"/>
            <w:tcMar>
              <w:top w:w="90" w:type="dxa"/>
              <w:start w:w="100" w:type="dxa"/>
              <w:bottom w:w="90" w:type="dxa"/>
              <w:end w:w="100" w:type="dxa"/>
            </w:tcMar>
            <w:shd w:fill="FAFAFA"/>
          </w:tcPr>
          <w:p>
            <w:pPr>
              <w:spacing w:before="0" w:after="0" w:line="240" w:lineRule="auto"/>
            </w:pPr>
            <w:sdt>
              <w:sdtPr>
                <w:alias w:val="srCalcSteps"/>
                <w:tag w:val="srCalcSteps"/>
                <w:id w:val="10038"/>
                <w:text w:multiLine="1"/>
              </w:sdtPr>
              <w:sdtContent>
                <w:r>
                  <w:rPr>
                    <w:rFonts w:ascii="Times New Roman" w:hAnsi="Times New Roman" w:eastAsia="Times New Roman"/>
                    <w:sz w:val="18"/>
                    <w:color w:val="000000"/>
                  </w:rPr>
                  <w:t xml:space="preserve">Нажмите «Показать ход расчёта» после заполнения параметров.</w:t>
                </w:r>
              </w:sdtContent>
            </w:sdt>
          </w:p>
        </w:tc>
      </w:tr>
    </w:tbl>
    <w:p>
      <w:pPr>
        <w:spacing w:after="100" w:before="0"/>
      </w:pPr>
      <w:r/>
    </w:p>
    <w:p>
      <w:pPr>
        <w:spacing w:after="40"/>
      </w:pPr>
      <w:r>
        <w:rPr>
          <w:rFonts w:ascii="Times New Roman" w:hAnsi="Times New Roman" w:eastAsia="Times New Roman"/>
          <w:b/>
          <w:i w:val="0"/>
          <w:sz w:val="21"/>
        </w:rPr>
        <w:t>ПРИМЕЧАНИЕ</w:t>
      </w:r>
    </w:p>
    <w:p>
      <w:pPr>
        <w:spacing w:after="60"/>
      </w:pPr>
      <w:r>
        <w:rPr>
          <w:rFonts w:ascii="Times New Roman" w:hAnsi="Times New Roman" w:eastAsia="Times New Roman"/>
          <w:b w:val="0"/>
          <w:i/>
          <w:color w:val="555555"/>
          <w:sz w:val="18"/>
        </w:rPr>
        <w:t>Результаты являются предварительными и требуют проверки квалифицированным специалистом. Расчёт построен по формулам и структуре исходного калькулятора INNER: силы, расход воздуха с приведением к нормальным условиям, скорости и время, энергия удара и проверка штока по Эйлеру. Порог необходимости регулируемого демпфирования — 0,3 Дж; рекомендуемый запас устойчивости nу ≥ 5.</w:t>
      </w:r>
    </w:p>
    <w:p>
      <w:pPr>
        <w:spacing w:after="20"/>
      </w:pPr>
      <w:r>
        <w:rPr>
          <w:rFonts w:ascii="Times New Roman" w:hAnsi="Times New Roman" w:eastAsia="Times New Roman"/>
          <w:b w:val="0"/>
          <w:i/>
          <w:color w:val="555555"/>
          <w:sz w:val="17"/>
        </w:rPr>
        <w:t>Источник: https://inner.su/services/raschet-pnevmotsilindra-onlayn-kalkulyator/</w:t>
      </w:r>
    </w:p>
    <w:p>
      <w:pPr>
        <w:spacing w:after="0"/>
      </w:pPr>
      <w:r>
        <w:rPr>
          <w:rFonts w:ascii="Times New Roman" w:hAnsi="Times New Roman" w:eastAsia="Times New Roman"/>
          <w:b w:val="0"/>
          <w:i/>
          <w:color w:val="555555"/>
          <w:sz w:val="17"/>
        </w:rPr>
        <w:t>Важно: исходная страница указывает, что энергия удара должна учитывать массу груза и подвижных частей цилиндра, но не публикует отдельную формулу оценки массы поршня и штока. В этом файле поле m используется как масса, принимаемая для расчёта энергии; при необходимости введите суммарную перемещаемую массу. Для режима «0 = авто» полной длины штока применена явная оценка 1,3 × L, указанная в файле как реализация калькулятора.</w:t>
      </w:r>
    </w:p>
    <w:sectPr w:rsidR="00FC693F" w:rsidRPr="0006063C" w:rsidSect="00034616">
      <w:pgSz w:w="11906" w:h="16838"/>
      <w:pgMar w:top="1020" w:right="964" w:bottom="79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Times New Roman" w:hAnsi="Times New Roman" w:eastAsia="Times New Roman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microsoft.com/office/2006/relationships/vbaProject" Target="vbaProject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Калькулятор трубной резьбы</dc:title>
  <dc:subject>Подбор трубной резьбы BSPP, BSPT и NPT по измеренному диаметру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