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vbaProject.bin" ContentType="application/vnd.ms-office.vbaProject"/>
  <Override PartName="/word/vbaData.xml" ContentType="application/vnd.ms-word.vbaData+xml"/>
  <Override PartName="/customUI/customUI.xml" ContentType="application/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ThreadCalculatorUI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drawing>
          <wp:inline xmlns:a="http://schemas.openxmlformats.org/drawingml/2006/main" xmlns:pic="http://schemas.openxmlformats.org/drawingml/2006/picture">
            <wp:extent cx="1980000" cy="4910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49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ООО «Синергия-Ресурс»: все для промышленной пневмоавтоматики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195213, г. Санкт-Петербург, ул. Латышских стрелков, д 25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ОГРН 1137847172033      ИНН 7839478785      КПП 781101001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color w:val="0563C1"/>
          <w:sz w:val="22"/>
        </w:rPr>
        <w:t>site@srs-automatic.ru    тел. 8-800-600-72-68,  +7 812 983-22-68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sz w:val="30"/>
        </w:rPr>
        <w:t>Калькулятор трубной резьбы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2494"/>
        <w:gridCol w:w="2494"/>
        <w:gridCol w:w="2494"/>
        <w:gridCol w:w="2494"/>
      </w:tblGrid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Заказчик: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Customer"/>
                <w:tag w:val="srCustomer"/>
                <w:text/>
                <w:id w:val="30001"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Дата: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Date"/>
                <w:tag w:val="srDate"/>
                <w:text/>
                <w:id w:val="30002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Представитель: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Manager"/>
                <w:tag w:val="srManager"/>
                <w:text/>
                <w:id w:val="30003"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Техзапрос №: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Request"/>
                <w:tag w:val="srRequest"/>
                <w:text/>
                <w:id w:val="30004"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keepNext/>
        <w:spacing w:after="120" w:before="320"/>
        <w:jc w:val="center"/>
        <w:shd w:fill="D9D9D9"/>
      </w:pPr>
      <w:r>
        <w:rPr>
          <w:rFonts w:ascii="Times New Roman" w:hAnsi="Times New Roman" w:eastAsia="Times New Roman"/>
          <w:b/>
          <w:i w:val="0"/>
          <w:color w:val="000000"/>
          <w:sz w:val="22"/>
        </w:rPr>
        <w:t>ПАРАМЕТРЫ ПОДБОРА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4989"/>
        <w:gridCol w:w="4989"/>
      </w:tblGrid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Стандарт трубной резьбы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Доступны BSPP (G), BSPT (R) и NPT.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Type"/>
                <w:tag w:val="srType"/>
                <w:dropDownList>
                  <w:listItem w:displayText="BSPP (G) — цилиндрическая" w:value="BSPP (G) — цилиндрическая"/>
                  <w:listItem w:displayText="BSPT (R) — коническая" w:value="BSPT (R) — коническая"/>
                  <w:listItem w:displayText="NPT — коническая" w:value="NPT — коническая"/>
                </w:dropDownList>
                <w:id w:val="30005"/>
              </w:sdtPr>
              <w:sdtContent>
                <w:r>
                  <w:t xml:space="preserve">BSPP (G) — цилиндрическая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Тип измерения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i/>
              </w:rPr>
            </w:r>
            <w:r>
              <w:rPr>
                <w:rFonts w:ascii="Times New Roman" w:hAnsi="Times New Roman" w:eastAsia="Times New Roman"/>
                <w:sz w:val="22"/>
                <w:i/>
              </w:rPr>
              <w:t>Наружная: максимальный диаметр; внутренняя: минимальный.</w:t>
            </w:r>
            <w:r>
              <w:rPr>
                <w:rFonts w:ascii="Times New Roman" w:hAnsi="Times New Roman" w:eastAsia="Times New Roman"/>
                <w:color w:val="FF6600"/>
                <w:sz w:val="22"/>
                <w:i/>
              </w:rPr>
              <w:t xml:space="preserve"/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Rod"/>
                <w:tag w:val="srRod"/>
                <w:dropDownList>
                  <w:listItem w:displayText="Наружная резьба" w:value="Наружная резьба"/>
                  <w:listItem w:displayText="Внутренняя резьба" w:value="Внутренняя резьба"/>
                </w:dropDownList>
                <w:id w:val="30006"/>
              </w:sdtPr>
              <w:sdtContent>
                <w:r>
                  <w:t xml:space="preserve">Наружная резьба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Измеренный диаметр,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Введите значение по штангенциркулю, например 20,9.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D"/>
                <w:tag w:val="srD"/>
                <w:text/>
                <w:id w:val="30007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Допустимое отклонение,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i/>
              </w:rPr>
            </w:r>
            <w:r>
              <w:rPr>
                <w:rFonts w:ascii="Times New Roman" w:hAnsi="Times New Roman" w:eastAsia="Times New Roman"/>
                <w:sz w:val="22"/>
                <w:i/>
              </w:rPr>
              <w:t>Введите неотрицательное число, например 1 для поиска в пределах ±1 мм.</w:t>
            </w:r>
            <w:r>
              <w:rPr>
                <w:rFonts w:ascii="Times New Roman" w:hAnsi="Times New Roman" w:eastAsia="Times New Roman"/>
                <w:color w:val="FF6600"/>
                <w:sz w:val="22"/>
                <w:i/>
              </w:rPr>
              <w:t xml:space="preserve"/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Stroke"/>
                <w:tag w:val="srStroke"/>
                <w:text/>
                <w:id w:val="30008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Комментарий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/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Дополнительные сведения о соединении или оборудовании.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Comment"/>
                <w:tag w:val="srComment"/>
                <w:text/>
                <w:id w:val="30009"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</w:tblPr>
      <w:tblGrid>
        <w:gridCol w:w="4989"/>
        <w:gridCol w:w="4989"/>
      </w:tblGrid>
      <w:tr>
        <w:tc>
          <w:tcPr>
            <w:tcW w:type="dxa" w:w="2800"/>
            <w:shd w:fill="0B78BC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ThreadCalc.Raschet Рассчитать </w:instrText>
            </w:r>
            <w:r>
              <w:fldChar w:fldCharType="separate"/>
            </w:r>
            <w:r>
              <w:rPr>
                <w:b/>
                <w:sz w:val="22"/>
                <w:color w:val="FFFFFF"/>
                <w:rFonts w:ascii="Times New Roman" w:hAnsi="Times New Roman" w:cs="Times New Roman"/>
              </w:rPr>
              <w:t>Рассчитать</w:t>
            </w:r>
            <w:r>
              <w:fldChar w:fldCharType="end"/>
            </w:r>
          </w:p>
        </w:tc>
        <w:tc>
          <w:tcPr>
            <w:tcW w:type="dxa" w:w="2800"/>
            <w:shd w:fill="FFFFFF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ThreadCalc.OchistitList Очистить лист </w:instrText>
            </w:r>
            <w:r>
              <w:fldChar w:fldCharType="separate"/>
            </w:r>
            <w:r>
              <w:rPr>
                <w:b/>
                <w:sz w:val="22"/>
                <w:color w:val="0B78BC"/>
                <w:rFonts w:ascii="Times New Roman" w:hAnsi="Times New Roman" w:cs="Times New Roman"/>
              </w:rPr>
              <w:t>Очистить лист</w:t>
            </w:r>
            <w:r>
              <w:fldChar w:fldCharType="end"/>
            </w:r>
          </w:p>
        </w:tc>
      </w:tr>
    </w:tbl>
    <w:p>
      <w:pPr>
        <w:keepNext/>
        <w:spacing w:before="320" w:after="120"/>
      </w:pPr>
      <w:r>
        <w:rPr>
          <w:b/>
          <w:sz w:val="18"/>
          <w:color w:val="333333"/>
        </w:rPr>
        <w:t xml:space="preserve">Как заполнить калькулятор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Обязательные поля: </w:t>
      </w:r>
      <w:r>
        <w:rPr>
          <w:sz w:val="18"/>
          <w:color w:val="333333"/>
        </w:rPr>
        <w:t xml:space="preserve">выберите стандарт и тип измерения; введите измеренный диаметр и допустимое отклонение. Комментарий и сведения о заказчике необязательны.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Формат ввода: </w:t>
      </w:r>
      <w:r>
        <w:rPr>
          <w:sz w:val="18"/>
          <w:color w:val="333333"/>
        </w:rPr>
        <w:t xml:space="preserve">одно число в миллиметрах без единиц измерения и диапазонов. Допустимы 20,9 и 20.9. Диаметр должен быть больше 0; отклонение — не меньше 0.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Стандарт резьбы: </w:t>
      </w:r>
      <w:r>
        <w:rPr>
          <w:sz w:val="18"/>
          <w:color w:val="333333"/>
        </w:rPr>
        <w:t xml:space="preserve">выберите его по маркировке или документации. Один диаметр не позволяет надёжно различить BSPP, BSPT и NPT.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Тип измерения: </w:t>
      </w:r>
      <w:r>
        <w:rPr>
          <w:sz w:val="18"/>
          <w:color w:val="333333"/>
        </w:rPr>
        <w:t xml:space="preserve">для наружной резьбы измеряйте диаметр по вершинам витков; для внутренней — наименьший диаметр отверстия по вершинам внутренней резьбы.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Коническая резьба: </w:t>
      </w:r>
      <w:r>
        <w:rPr>
          <w:sz w:val="18"/>
          <w:color w:val="333333"/>
        </w:rPr>
        <w:t xml:space="preserve">диаметр меняется вдоль оси. Сравнивайте измерение в основной плоскости по чертежу; для NPT справочные значения относятся к плоскости L1.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Допустимое отклонение: </w:t>
      </w:r>
      <w:r>
        <w:rPr>
          <w:sz w:val="18"/>
          <w:color w:val="333333"/>
        </w:rPr>
        <w:t xml:space="preserve">задаёт предел поиска, например 1 означает ±1 мм. Это не производственный допуск и не проверка соответствия стандарту.</w:t>
      </w:r>
    </w:p>
    <w:p>
      <w:pPr>
        <w:keepLines/>
        <w:numPr>
          <w:ilvl w:val="0"/>
          <w:numId w:val="10"/>
        </w:numPr>
        <w:spacing w:after="80"/>
        <w:ind w:left="300" w:hanging="180"/>
      </w:pPr>
      <w:r>
        <w:rPr>
          <w:b/>
          <w:sz w:val="18"/>
          <w:color w:val="333333"/>
        </w:rPr>
        <w:t xml:space="preserve">Результат подбора: </w:t>
      </w:r>
      <w:r>
        <w:rPr>
          <w:sz w:val="18"/>
          <w:color w:val="333333"/>
        </w:rPr>
        <w:t xml:space="preserve">показан ближайший размер из встроенной таблицы. При превышении отклонения или нескольких подходящих размерах проверьте сообщение и уточните измерение, шаг и профиль.</w:t>
      </w:r>
    </w:p>
    <w:p>
      <w:pPr>
        <w:keepLines/>
        <w:numPr>
          <w:ilvl w:val="0"/>
          <w:numId w:val="10"/>
        </w:numPr>
        <w:spacing w:after="240"/>
        <w:ind w:left="300" w:hanging="180"/>
      </w:pPr>
      <w:r>
        <w:rPr>
          <w:b/>
          <w:sz w:val="18"/>
          <w:color w:val="333333"/>
        </w:rPr>
        <w:t xml:space="preserve">Пересчёт: </w:t>
      </w:r>
      <w:r>
        <w:rPr>
          <w:sz w:val="18"/>
          <w:color w:val="333333"/>
        </w:rPr>
        <w:t xml:space="preserve">после изменения параметров нажмите «Рассчитать». «Очистить лист» удаляет введённые данные и результаты.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4989"/>
        <w:gridCol w:w="4989"/>
      </w:tblGrid>
      <w:tr>
        <w:tc>
          <w:tcPr>
            <w:tcW w:type="dxa" w:w="2600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Результат проверки:</w:t>
            </w:r>
          </w:p>
        </w:tc>
        <w:tc>
          <w:tcPr>
            <w:tcW w:type="dxa" w:w="7900"/>
          </w:tcPr>
          <w:p>
            <w:pPr>
              <w:spacing w:after="0"/>
            </w:pPr>
            <w:r/>
            <w:sdt>
              <w:sdtPr>
                <w:alias w:val="srMessage"/>
                <w:tag w:val="srMessage"/>
                <w:text/>
                <w:id w:val="30010"/>
              </w:sdtPr>
              <w:sdtContent>
                <w:r>
                  <w:t xml:space="preserve">Заполните диаметр и допустимое отклонение, затем нажмите «Рассчитать».</w:t>
                </w:r>
              </w:sdtContent>
            </w:sdt>
          </w:p>
        </w:tc>
      </w:tr>
    </w:tbl>
    <w:p>
      <w:pPr>
        <w:keepNext/>
        <w:spacing w:after="120" w:before="32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РЕЗУЛЬТАТЫ РАСЧЁТА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3326"/>
        <w:gridCol w:w="3326"/>
        <w:gridCol w:w="3326"/>
      </w:tblGrid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Обозначение резьбы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AreaPiston"/>
                <w:tag w:val="srAreaPiston"/>
                <w:text/>
                <w:id w:val="30011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/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Номинальный размер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AreaRod"/>
                <w:tag w:val="srAreaRod"/>
                <w:text/>
                <w:id w:val="30012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дюйм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Тип и стандарт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VolumeOut"/>
                <w:tag w:val="srVolumeOut"/>
                <w:text/>
                <w:id w:val="30013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/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Наружный диаметр d = D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VolumeIn"/>
                <w:tag w:val="srVolumeIn"/>
                <w:text/>
                <w:id w:val="30014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Внутренний диаметр d₁ = D₁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Cycle"/>
                <w:tag w:val="srCycle"/>
                <w:text/>
                <w:id w:val="30015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Шаг резьбы P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Minute"/>
                <w:tag w:val="srMinute"/>
                <w:text/>
                <w:id w:val="30016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Число ниток на дюйм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HourLiters"/>
                <w:tag w:val="srHourLiters"/>
                <w:text/>
                <w:id w:val="30017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TPI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Отклонение от измерения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HourM3"/>
                <w:tag w:val="srHourM3"/>
                <w:text/>
                <w:id w:val="30018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</w:t>
            </w:r>
          </w:p>
        </w:tc>
      </w:tr>
    </w:tbl>
    <w:p>
      <w:pPr>
        <w:keepNext/>
        <w:spacing w:after="120" w:before="32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ПРИНЦИП ПОДБОРА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Для наружной резьбы измеренный диаметр сравнивается с нормативным наружным диаметром d = D.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Для внутренней резьбы сравнивается минимальный измеренный диаметр с основным внутренним диаметром. Внутренняя коническая BSPT обозначается Rc; наружная — R.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Дюймовое обозначение трубной резьбы является условным и не определяется простым делением измерения в миллиметрах на 25,4.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Калькулятор подбирает ближайший размер из встроенной таблицы и проверяет заданное отклонение. Предел поиска не является производственным допуском.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BSPP (G) и BSPT (R) имеют профиль 55°, а NPT — профиль 60°; для проверки рекомендуется измерить шаг резьбомером.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Резьбы BSPT и NPT не являются взаимозаменяемыми, несмотря на одинаковую конусность 1:16.</w:t>
      </w:r>
    </w:p>
    <w:p>
      <w:pPr>
        <w:keepNext/>
        <w:spacing w:after="120" w:before="320"/>
      </w:pPr>
      <w:r>
        <w:rPr>
          <w:rFonts w:ascii="Times New Roman" w:hAnsi="Times New Roman" w:eastAsia="Times New Roman"/>
          <w:b/>
          <w:i w:val="0"/>
          <w:sz w:val="22"/>
        </w:rPr>
        <w:t>ПРИМЕЧАНИЕ</w:t>
      </w:r>
    </w:p>
    <w:p>
      <w:pPr>
        <w:spacing w:after="160"/>
      </w:pPr>
      <w:r>
        <w:rPr>
          <w:rFonts w:ascii="Times New Roman" w:hAnsi="Times New Roman" w:eastAsia="Times New Roman"/>
          <w:b w:val="0"/>
          <w:i/>
          <w:color w:val="555555"/>
          <w:sz w:val="20"/>
        </w:rPr>
        <w:t>Результат является справочным. Износ, покрытие, заусенцы, погрешность штангенциркуля и измерение конической резьбы вне основной плоскости могут изменить фактический размер. Перед изготовлением или заказом ответственной детали проверьте профиль и шаг резьбы калибром или резьбомером.</w:t>
      </w:r>
    </w:p>
    <w:sectPr w:rsidR="00FC693F" w:rsidRPr="0006063C" w:rsidSect="00034616">
      <w:pgSz w:w="11906" w:h="16838"/>
      <w:pgMar w:top="1020" w:right="96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multiLevelType w:val="singleLevel"/>
    <w:lvl w:ilvl="0">
      <w:start w:val="1"/>
      <w:numFmt w:val="bullet"/>
      <w:lvlText w:val="•"/>
      <w:lvlJc w:val="left"/>
      <w:pPr>
        <w:ind w:left="300" w:hanging="180"/>
      </w:pPr>
      <w:rPr>
        <w:rFonts w:ascii="Arial" w:hAnsi="Aria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ContentControlOnExit/>
  </wne:docEvents>
  <wne:mcds>
    <wne:mcd wne:macroName="PROJECT.THREADCALC.RASCHET" wne:name="Project.ThreadCalc.Raschet" wne:bEncrypt="00" wne:cmg="56"/>
    <wne:mcd wne:macroName="PROJECT.THREADCALC.OCHISTITLIST" wne:name="Project.ThreadCalc.OchistitLi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microsoft.com/office/2006/relationships/vbaProject" Target="vbaProject.bin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UI/customUI.xml><?xml version="1.0" encoding="utf-8"?>
<customUI xmlns="http://schemas.microsoft.com/office/2006/01/customui">
  <ribbon>
    <tabs>
      <tab id="tabPneumoCalculator" label="Калькулятор">
        <group id="groupPneumoCalculation" label="Подбор трубной резьбы">
          <button id="pneumoCalculate" label="Рассчитать" size="large" imageMso="CalculateNow" onAction="ThreadCalc.RibbonCalculate"/>
          <button id="pneumoClear" label="Очистить лист" size="large" imageMso="ClearAll" onAction="ThreadCalc.RibbonClear"/>
        </group>
      </tab>
    </tabs>
  </ribbon>
</customUI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Калькулятор трубной резьбы</dc:title>
  <dc:subject>Подбор трубной резьбы BSPP, BSPT и NPT по измеренному диаметру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